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2D69" w14:textId="77777777" w:rsidR="007D18F2" w:rsidRDefault="007D18F2" w:rsidP="007D18F2">
      <w:pPr>
        <w:pStyle w:val="NoSpacing"/>
        <w:jc w:val="center"/>
        <w:rPr>
          <w:b/>
          <w:bCs/>
          <w:sz w:val="48"/>
          <w:szCs w:val="48"/>
        </w:rPr>
      </w:pPr>
      <w:r w:rsidRPr="00586F0D">
        <w:rPr>
          <w:b/>
          <w:bCs/>
          <w:sz w:val="48"/>
          <w:szCs w:val="48"/>
        </w:rPr>
        <w:t xml:space="preserve">Input by civil society to the </w:t>
      </w:r>
    </w:p>
    <w:p w14:paraId="5A10FA12" w14:textId="77777777" w:rsidR="007D18F2" w:rsidRDefault="007D18F2" w:rsidP="007D18F2">
      <w:pPr>
        <w:pStyle w:val="NoSpacing"/>
        <w:jc w:val="center"/>
        <w:rPr>
          <w:b/>
          <w:bCs/>
          <w:sz w:val="48"/>
          <w:szCs w:val="48"/>
        </w:rPr>
      </w:pPr>
      <w:r>
        <w:rPr>
          <w:b/>
          <w:bCs/>
          <w:sz w:val="48"/>
          <w:szCs w:val="48"/>
        </w:rPr>
        <w:t>2022 Asylum Report</w:t>
      </w:r>
    </w:p>
    <w:p w14:paraId="58567814" w14:textId="77777777" w:rsidR="007D18F2" w:rsidRDefault="007D18F2" w:rsidP="007D18F2">
      <w:pPr>
        <w:pStyle w:val="NoSpacing"/>
        <w:jc w:val="center"/>
        <w:rPr>
          <w:rFonts w:ascii="Arial Unicode MS"/>
          <w:color w:val="333333"/>
          <w:w w:val="105"/>
          <w:sz w:val="19"/>
        </w:rPr>
      </w:pPr>
    </w:p>
    <w:p w14:paraId="0849748E" w14:textId="77777777" w:rsidR="007D18F2" w:rsidRDefault="007D18F2" w:rsidP="007D18F2">
      <w:pPr>
        <w:pStyle w:val="NoSpacing"/>
        <w:jc w:val="center"/>
        <w:rPr>
          <w:rFonts w:ascii="Arial Unicode MS"/>
          <w:color w:val="333333"/>
          <w:w w:val="105"/>
          <w:sz w:val="19"/>
        </w:rPr>
      </w:pPr>
    </w:p>
    <w:p w14:paraId="05092489" w14:textId="77777777" w:rsidR="007D18F2" w:rsidRDefault="007D18F2" w:rsidP="007D18F2">
      <w:pPr>
        <w:pStyle w:val="NoSpacing"/>
        <w:jc w:val="both"/>
      </w:pPr>
      <w:r w:rsidRPr="00C87E50">
        <w:t>Dear Colleagues,</w:t>
      </w:r>
    </w:p>
    <w:p w14:paraId="4ACB510B" w14:textId="54119BCB" w:rsidR="007D18F2" w:rsidRDefault="007D18F2" w:rsidP="007D18F2">
      <w:pPr>
        <w:pStyle w:val="NoSpacing"/>
        <w:jc w:val="both"/>
      </w:pPr>
      <w:r w:rsidRPr="00C87E50">
        <w:br/>
        <w:t>The production of the </w:t>
      </w:r>
      <w:r w:rsidRPr="00C87E50">
        <w:rPr>
          <w:i/>
          <w:iCs/>
        </w:rPr>
        <w:t>Asylum Report 2022</w:t>
      </w:r>
      <w:r w:rsidRPr="00C87E50">
        <w:t> is currently underway. The annual </w:t>
      </w:r>
      <w:hyperlink r:id="rId12" w:tgtFrame="_blank" w:history="1">
        <w:r w:rsidRPr="00C87E50">
          <w:rPr>
            <w:rStyle w:val="Hyperlink"/>
          </w:rPr>
          <w:t>Asylum Report series</w:t>
        </w:r>
      </w:hyperlink>
      <w:r w:rsidRPr="00C87E50">
        <w:t> present a comprehensive overview of developments in the field of asylum at the regional and national levels.</w:t>
      </w:r>
    </w:p>
    <w:p w14:paraId="74F0F274" w14:textId="77777777" w:rsidR="007D18F2" w:rsidRDefault="007D18F2" w:rsidP="007D18F2">
      <w:pPr>
        <w:pStyle w:val="NoSpacing"/>
        <w:jc w:val="both"/>
      </w:pPr>
      <w:r w:rsidRPr="00C87E50">
        <w:br/>
        <w:t xml:space="preserve">The report includes information and perspectives from various stakeholders, including experts from EU+ countries, civil society organisations, UNHCR and researchers. To this end, we invite you, our partners from civil society, academia and research institutions, to share with us </w:t>
      </w:r>
      <w:proofErr w:type="gramStart"/>
      <w:r w:rsidRPr="00C87E50">
        <w:t>your</w:t>
      </w:r>
      <w:proofErr w:type="gramEnd"/>
      <w:r w:rsidRPr="00C87E50">
        <w:t xml:space="preserve"> reporting on developments in asylum law, policy or practice in 2021 (and early 2022) by topic as presented in the online survey.</w:t>
      </w:r>
    </w:p>
    <w:p w14:paraId="5A9235B7" w14:textId="77777777" w:rsidR="007D18F2" w:rsidRDefault="007D18F2" w:rsidP="007D18F2">
      <w:pPr>
        <w:pStyle w:val="NoSpacing"/>
        <w:jc w:val="both"/>
      </w:pPr>
      <w:r w:rsidRPr="00C87E50">
        <w:br/>
        <w:t xml:space="preserve">Please note that the Asylum Report does not seek to describe national systems in detail but rather to present key developments of the past year, including improvements and challenges which remain. Your input can cover practices of a specific EU+ country or the </w:t>
      </w:r>
      <w:proofErr w:type="gramStart"/>
      <w:r w:rsidRPr="00C87E50">
        <w:t>EU as a whole</w:t>
      </w:r>
      <w:proofErr w:type="gramEnd"/>
      <w:r w:rsidRPr="00C87E50">
        <w:t>. You can complete all or only some of the sections.</w:t>
      </w:r>
    </w:p>
    <w:p w14:paraId="362384C6" w14:textId="478E3FCC" w:rsidR="007D18F2" w:rsidRDefault="007D18F2" w:rsidP="007D18F2">
      <w:pPr>
        <w:pStyle w:val="NoSpacing"/>
        <w:jc w:val="both"/>
      </w:pPr>
      <w:r w:rsidRPr="00C87E50">
        <w:br/>
        <w:t xml:space="preserve">All submissions are publicly accessible. For transparency, 2022 contributions will be published on the </w:t>
      </w:r>
      <w:r>
        <w:t>EUAA</w:t>
      </w:r>
      <w:r w:rsidRPr="00C87E50">
        <w:t xml:space="preserve"> webpage. For reference, contributions to the 2021 Asylum Report by civil society organisations can be accessed </w:t>
      </w:r>
      <w:hyperlink r:id="rId13" w:tgtFrame="_blank" w:history="1">
        <w:r w:rsidRPr="00C87E50">
          <w:rPr>
            <w:rStyle w:val="Hyperlink"/>
          </w:rPr>
          <w:t>here</w:t>
        </w:r>
      </w:hyperlink>
      <w:r w:rsidRPr="00C87E50">
        <w:t xml:space="preserve">, under 'Acknowledgements'. All contributions should be appropriately referenced. You may include links to supporting material, such as analytical studies, articles, reports, websites, press releases or position papers. If your organisation does not produce any publications, please </w:t>
      </w:r>
      <w:proofErr w:type="gramStart"/>
      <w:r w:rsidRPr="00C87E50">
        <w:t>make reference</w:t>
      </w:r>
      <w:proofErr w:type="gramEnd"/>
      <w:r w:rsidRPr="00C87E50">
        <w:t xml:space="preserve"> to other published materials, such as joint statements issued with other organisations. Some sources of information may be in a language other than English. In this case, please cite the original language and, if possible, provide one to two sentences describing the key messages in English.</w:t>
      </w:r>
    </w:p>
    <w:p w14:paraId="0BA96ADD" w14:textId="77777777" w:rsidR="007D18F2" w:rsidRDefault="007D18F2" w:rsidP="007D18F2">
      <w:pPr>
        <w:pStyle w:val="NoSpacing"/>
        <w:jc w:val="both"/>
      </w:pPr>
      <w:r w:rsidRPr="00C87E50">
        <w:br/>
        <w:t>The content of the Asylum Report is subject to terms of reference and volume limitations. Contributions from civil society organisations feed into E</w:t>
      </w:r>
      <w:r>
        <w:t>UA</w:t>
      </w:r>
      <w:r w:rsidRPr="00C87E50">
        <w:t>A’s work in multiple ways and inform reports and analyses beyond the Asylum Report. </w:t>
      </w:r>
    </w:p>
    <w:p w14:paraId="7D7545F8" w14:textId="77777777" w:rsidR="007D18F2" w:rsidRDefault="007D18F2" w:rsidP="007D18F2">
      <w:pPr>
        <w:pStyle w:val="NoSpacing"/>
        <w:jc w:val="both"/>
      </w:pPr>
      <w:r w:rsidRPr="00C87E50">
        <w:br/>
        <w:t>Your input matters to us and will be much appreciated!</w:t>
      </w:r>
    </w:p>
    <w:p w14:paraId="170A494F" w14:textId="77777777" w:rsidR="007D18F2" w:rsidRDefault="007D18F2" w:rsidP="007D18F2">
      <w:pPr>
        <w:pStyle w:val="NoSpacing"/>
        <w:jc w:val="both"/>
        <w:rPr>
          <w:b/>
          <w:bCs/>
        </w:rPr>
      </w:pPr>
      <w:r w:rsidRPr="00C87E50">
        <w:br/>
      </w:r>
      <w:r w:rsidRPr="00C87E50">
        <w:rPr>
          <w:b/>
          <w:bCs/>
        </w:rPr>
        <w:br/>
        <w:t>*</w:t>
      </w:r>
      <w:r w:rsidRPr="00C87E50">
        <w:t>Please submit your contribution to the 2022 Asylum Report by </w:t>
      </w:r>
      <w:r w:rsidRPr="00C87E50">
        <w:rPr>
          <w:b/>
          <w:bCs/>
          <w:color w:val="FF0000"/>
        </w:rPr>
        <w:t xml:space="preserve">Monday, 21 February </w:t>
      </w:r>
      <w:proofErr w:type="gramStart"/>
      <w:r w:rsidRPr="00C87E50">
        <w:rPr>
          <w:b/>
          <w:bCs/>
          <w:color w:val="FF0000"/>
        </w:rPr>
        <w:t>2022</w:t>
      </w:r>
      <w:r w:rsidRPr="00C87E50">
        <w:rPr>
          <w:b/>
          <w:bCs/>
        </w:rPr>
        <w:t>.*</w:t>
      </w:r>
      <w:proofErr w:type="gramEnd"/>
    </w:p>
    <w:p w14:paraId="00AB2C40" w14:textId="77777777" w:rsidR="007D18F2" w:rsidRPr="00172C8E" w:rsidRDefault="007D18F2" w:rsidP="007D18F2">
      <w:pPr>
        <w:pStyle w:val="NoSpacing"/>
        <w:jc w:val="both"/>
      </w:pPr>
      <w:r w:rsidRPr="00172C8E">
        <w:rPr>
          <w:b/>
          <w:bCs/>
        </w:rPr>
        <w:br/>
      </w:r>
    </w:p>
    <w:p w14:paraId="41CD50D7" w14:textId="77777777" w:rsidR="007D18F2" w:rsidRPr="00172C8E" w:rsidRDefault="007D18F2" w:rsidP="007D18F2">
      <w:pPr>
        <w:pStyle w:val="NoSpacing"/>
      </w:pPr>
    </w:p>
    <w:p w14:paraId="7CA32DC8" w14:textId="77777777" w:rsidR="007D18F2" w:rsidRDefault="007D18F2" w:rsidP="007D18F2">
      <w:pPr>
        <w:pStyle w:val="NoSpacing"/>
      </w:pPr>
    </w:p>
    <w:p w14:paraId="1B20499E" w14:textId="77777777" w:rsidR="007D18F2" w:rsidRDefault="007D18F2" w:rsidP="007D18F2">
      <w:pPr>
        <w:pStyle w:val="NoSpacing"/>
      </w:pPr>
    </w:p>
    <w:p w14:paraId="747E8B44" w14:textId="77777777" w:rsidR="007D18F2" w:rsidRDefault="007D18F2" w:rsidP="007D18F2">
      <w:pPr>
        <w:pStyle w:val="Heading1"/>
      </w:pPr>
      <w:r>
        <w:rPr>
          <w:noProof/>
          <w:lang w:val="nl-NL" w:eastAsia="nl-NL"/>
        </w:rPr>
        <w:lastRenderedPageBreak/>
        <mc:AlternateContent>
          <mc:Choice Requires="wps">
            <w:drawing>
              <wp:anchor distT="0" distB="0" distL="114300" distR="114300" simplePos="0" relativeHeight="251659264" behindDoc="0" locked="0" layoutInCell="1" allowOverlap="1" wp14:anchorId="41893E5F" wp14:editId="492A86EC">
                <wp:simplePos x="0" y="0"/>
                <wp:positionH relativeFrom="page">
                  <wp:posOffset>695325</wp:posOffset>
                </wp:positionH>
                <wp:positionV relativeFrom="paragraph">
                  <wp:posOffset>327660</wp:posOffset>
                </wp:positionV>
                <wp:extent cx="638175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D452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pt" to="55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" strokecolor="#004e98" strokeweight="1.5pt">
                <w10:wrap anchorx="page"/>
              </v:line>
            </w:pict>
          </mc:Fallback>
        </mc:AlternateContent>
      </w:r>
      <w:r>
        <w:rPr>
          <w:color w:val="004E98"/>
        </w:rPr>
        <w:t>Instructions</w:t>
      </w:r>
    </w:p>
    <w:p w14:paraId="35B1A651" w14:textId="77777777" w:rsidR="007D18F2" w:rsidRDefault="007D18F2" w:rsidP="007D18F2">
      <w:pPr>
        <w:pStyle w:val="NoSpacing"/>
      </w:pPr>
    </w:p>
    <w:p w14:paraId="7B463994" w14:textId="77777777" w:rsidR="007D18F2" w:rsidRDefault="007D18F2" w:rsidP="007D18F2">
      <w:pPr>
        <w:pStyle w:val="NoSpacing"/>
        <w:jc w:val="both"/>
      </w:pPr>
      <w:r>
        <w:t>Before completing the survey, please review the list of topics and types of information that should be included in your submission.</w:t>
      </w:r>
    </w:p>
    <w:p w14:paraId="501BDFE5" w14:textId="77777777" w:rsidR="007D18F2" w:rsidRDefault="007D18F2" w:rsidP="007D18F2">
      <w:pPr>
        <w:pStyle w:val="NoSpacing"/>
        <w:jc w:val="both"/>
      </w:pPr>
      <w:r>
        <w:t xml:space="preserve"> </w:t>
      </w:r>
    </w:p>
    <w:p w14:paraId="58693B37" w14:textId="77777777" w:rsidR="007D18F2" w:rsidRDefault="007D18F2" w:rsidP="007D18F2">
      <w:pPr>
        <w:pStyle w:val="NoSpacing"/>
        <w:jc w:val="both"/>
      </w:pPr>
      <w:r>
        <w:t xml:space="preserve">For each response, </w:t>
      </w:r>
      <w:r w:rsidRPr="00172C8E">
        <w:rPr>
          <w:u w:val="single"/>
        </w:rPr>
        <w:t>only</w:t>
      </w:r>
      <w:r>
        <w:t xml:space="preserve"> include the following type of information:</w:t>
      </w:r>
    </w:p>
    <w:p w14:paraId="5811A3D1" w14:textId="77777777" w:rsidR="007D18F2" w:rsidRDefault="007D18F2" w:rsidP="007D18F2">
      <w:pPr>
        <w:pStyle w:val="NoSpacing"/>
        <w:jc w:val="both"/>
      </w:pPr>
      <w:r>
        <w:t xml:space="preserve"> </w:t>
      </w:r>
    </w:p>
    <w:p w14:paraId="37C665EA" w14:textId="77777777" w:rsidR="007D18F2" w:rsidRDefault="007D18F2" w:rsidP="007D18F2">
      <w:pPr>
        <w:pStyle w:val="NoSpacing"/>
        <w:numPr>
          <w:ilvl w:val="0"/>
          <w:numId w:val="12"/>
        </w:numPr>
        <w:jc w:val="both"/>
      </w:pPr>
      <w:r>
        <w:t>New developments and improvements in 2021 and new or remaining challenges; and</w:t>
      </w:r>
    </w:p>
    <w:p w14:paraId="51408571" w14:textId="77777777" w:rsidR="007D18F2" w:rsidRDefault="007D18F2" w:rsidP="007D18F2">
      <w:pPr>
        <w:pStyle w:val="NoSpacing"/>
        <w:numPr>
          <w:ilvl w:val="0"/>
          <w:numId w:val="12"/>
        </w:numPr>
        <w:jc w:val="both"/>
      </w:pPr>
      <w:r>
        <w:t>Changes in policies or practices, transposition of legislation or institutional changes during 2021.</w:t>
      </w:r>
    </w:p>
    <w:p w14:paraId="334C2C2C" w14:textId="77777777" w:rsidR="007D18F2" w:rsidRDefault="007D18F2" w:rsidP="007D18F2">
      <w:pPr>
        <w:pStyle w:val="NoSpacing"/>
        <w:jc w:val="both"/>
      </w:pPr>
    </w:p>
    <w:p w14:paraId="0C4771F3" w14:textId="77777777" w:rsidR="007D18F2" w:rsidRDefault="007D18F2" w:rsidP="007D18F2">
      <w:pPr>
        <w:pStyle w:val="NoSpacing"/>
      </w:pPr>
    </w:p>
    <w:p w14:paraId="2BEB2236" w14:textId="77777777" w:rsidR="007D18F2" w:rsidRDefault="007D18F2" w:rsidP="007D18F2">
      <w:pPr>
        <w:pStyle w:val="NoSpacing"/>
        <w:jc w:val="both"/>
      </w:pPr>
      <w:r w:rsidRPr="00586F0D">
        <w:rPr>
          <w:lang w:val="en-US"/>
        </w:rPr>
        <w:t xml:space="preserve">Please ensure that your responses remain within the scope of each section. </w:t>
      </w:r>
      <w:r w:rsidRPr="00586F0D">
        <w:rPr>
          <w:u w:val="single"/>
          <w:lang w:val="en-US"/>
        </w:rPr>
        <w:t>Do not include information that</w:t>
      </w:r>
      <w:r w:rsidRPr="00586F0D">
        <w:rPr>
          <w:lang w:val="en-US"/>
        </w:rPr>
        <w:t xml:space="preserve"> </w:t>
      </w:r>
      <w:r w:rsidRPr="00586F0D">
        <w:rPr>
          <w:u w:val="single"/>
          <w:lang w:val="en-US"/>
        </w:rPr>
        <w:t>goes beyond the thematic focus of each section or is not related to recent developments</w:t>
      </w:r>
    </w:p>
    <w:p w14:paraId="768C4E86" w14:textId="77777777" w:rsidR="007D18F2" w:rsidRDefault="007D18F2" w:rsidP="007D18F2">
      <w:pPr>
        <w:pStyle w:val="NoSpacing"/>
      </w:pPr>
    </w:p>
    <w:p w14:paraId="7FAD73DF" w14:textId="77777777" w:rsidR="007D18F2" w:rsidRDefault="007D18F2" w:rsidP="007D18F2">
      <w:pPr>
        <w:pStyle w:val="NoSpacing"/>
      </w:pPr>
    </w:p>
    <w:p w14:paraId="3C432254" w14:textId="77777777" w:rsidR="007D18F2" w:rsidRDefault="007D18F2" w:rsidP="007D18F2">
      <w:pPr>
        <w:pStyle w:val="NoSpacing"/>
      </w:pPr>
    </w:p>
    <w:p w14:paraId="7688D524" w14:textId="77777777" w:rsidR="007D18F2" w:rsidRDefault="007D18F2" w:rsidP="007D18F2">
      <w:pPr>
        <w:pStyle w:val="Heading1"/>
      </w:pPr>
      <w:r>
        <w:rPr>
          <w:noProof/>
          <w:lang w:val="nl-NL" w:eastAsia="nl-NL"/>
        </w:rPr>
        <mc:AlternateContent>
          <mc:Choice Requires="wps">
            <w:drawing>
              <wp:anchor distT="0" distB="0" distL="114300" distR="114300" simplePos="0" relativeHeight="251660288" behindDoc="0" locked="0" layoutInCell="1" allowOverlap="1" wp14:anchorId="7F86DF5A" wp14:editId="743374CE">
                <wp:simplePos x="0" y="0"/>
                <wp:positionH relativeFrom="page">
                  <wp:posOffset>695325</wp:posOffset>
                </wp:positionH>
                <wp:positionV relativeFrom="paragraph">
                  <wp:posOffset>327660</wp:posOffset>
                </wp:positionV>
                <wp:extent cx="63817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A12D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pt" to="55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" strokecolor="#004e98" strokeweight="1.5pt">
                <w10:wrap anchorx="page"/>
              </v:line>
            </w:pict>
          </mc:Fallback>
        </mc:AlternateContent>
      </w:r>
      <w:r>
        <w:rPr>
          <w:color w:val="004E98"/>
        </w:rPr>
        <w:t>Contributions by topic</w:t>
      </w:r>
    </w:p>
    <w:p w14:paraId="7A65C41B" w14:textId="77777777" w:rsidR="007D18F2" w:rsidRDefault="007D18F2" w:rsidP="007D18F2">
      <w:pPr>
        <w:pStyle w:val="NoSpacing"/>
      </w:pPr>
    </w:p>
    <w:p w14:paraId="2D212DBB" w14:textId="77777777" w:rsidR="007D18F2" w:rsidRPr="00BE6ED0" w:rsidRDefault="007D18F2" w:rsidP="007D18F2">
      <w:pPr>
        <w:pStyle w:val="NoSpacing"/>
        <w:numPr>
          <w:ilvl w:val="0"/>
          <w:numId w:val="13"/>
        </w:numPr>
        <w:jc w:val="both"/>
        <w:rPr>
          <w:rFonts w:cstheme="minorHAnsi"/>
          <w:sz w:val="24"/>
          <w:szCs w:val="24"/>
        </w:rPr>
      </w:pPr>
      <w:r w:rsidRPr="00BE6ED0">
        <w:rPr>
          <w:rFonts w:eastAsia="Arial" w:cstheme="minorHAnsi"/>
          <w:b/>
          <w:color w:val="333399"/>
          <w:sz w:val="24"/>
          <w:szCs w:val="24"/>
          <w:lang w:val="en-US"/>
        </w:rPr>
        <w:t xml:space="preserve">Access to territory and access to asylum procedures (including first arrival to territory and registration, arrival at the border, application of the non-refoulement principle, the right to </w:t>
      </w:r>
      <w:r w:rsidRPr="00BE6ED0">
        <w:rPr>
          <w:rFonts w:eastAsia="Arial" w:cstheme="minorHAnsi"/>
          <w:b/>
          <w:color w:val="333399"/>
          <w:spacing w:val="-4"/>
          <w:sz w:val="24"/>
          <w:szCs w:val="24"/>
          <w:lang w:val="en-US"/>
        </w:rPr>
        <w:t xml:space="preserve">first </w:t>
      </w:r>
      <w:r w:rsidRPr="00BE6ED0">
        <w:rPr>
          <w:rFonts w:eastAsia="Arial" w:cstheme="minorHAnsi"/>
          <w:b/>
          <w:color w:val="333399"/>
          <w:sz w:val="24"/>
          <w:szCs w:val="24"/>
          <w:lang w:val="en-US"/>
        </w:rPr>
        <w:t>response (shelter, food, medical treatment) and issues regarding border guards)</w:t>
      </w:r>
    </w:p>
    <w:p w14:paraId="6CE42464" w14:textId="77777777" w:rsidR="007D18F2" w:rsidRDefault="007D18F2" w:rsidP="007D18F2">
      <w:pPr>
        <w:jc w:val="both"/>
      </w:pPr>
    </w:p>
    <w:p w14:paraId="304861C1" w14:textId="77777777" w:rsidR="008546B1" w:rsidRDefault="00AC676B" w:rsidP="008546B1">
      <w:pPr>
        <w:ind w:left="360"/>
        <w:jc w:val="both"/>
      </w:pPr>
      <w:r w:rsidRPr="00AC676B">
        <w:rPr>
          <w:b/>
          <w:bCs/>
        </w:rPr>
        <w:t>ACVZ (2021), EU-borders are also our borders.</w:t>
      </w:r>
      <w:r>
        <w:t xml:space="preserve"> </w:t>
      </w:r>
      <w:r w:rsidR="008546B1" w:rsidRPr="008546B1">
        <w:t>Policy Brief: EU Member States should be more active and stop human rights violations at EU external borders</w:t>
      </w:r>
      <w:r w:rsidR="008546B1">
        <w:t xml:space="preserve"> (English)</w:t>
      </w:r>
    </w:p>
    <w:p w14:paraId="5FFC8B20" w14:textId="77777777" w:rsidR="008546B1" w:rsidRDefault="008546B1" w:rsidP="008546B1">
      <w:pPr>
        <w:ind w:left="360"/>
        <w:jc w:val="both"/>
      </w:pPr>
    </w:p>
    <w:p w14:paraId="39DDF6F9" w14:textId="18F580F8" w:rsidR="005C75A1" w:rsidRDefault="00381188" w:rsidP="008546B1">
      <w:pPr>
        <w:ind w:left="360"/>
        <w:jc w:val="both"/>
      </w:pPr>
      <w:hyperlink r:id="rId14" w:history="1">
        <w:r w:rsidR="008546B1" w:rsidRPr="008546B1">
          <w:rPr>
            <w:rStyle w:val="Hyperlink"/>
          </w:rPr>
          <w:t>https://www.adviescommissievoorvreemdelingenzaken.nl/publicaties/publicaties/2022/02/14/eu-borders-are-common-borders</w:t>
        </w:r>
      </w:hyperlink>
      <w:r w:rsidR="008546B1" w:rsidRPr="008546B1">
        <w:t xml:space="preserve">  </w:t>
      </w:r>
    </w:p>
    <w:p w14:paraId="551F900E" w14:textId="77777777" w:rsidR="007D18F2" w:rsidRDefault="007D18F2" w:rsidP="007D18F2">
      <w:pPr>
        <w:jc w:val="both"/>
      </w:pPr>
    </w:p>
    <w:p w14:paraId="36E651C3" w14:textId="77777777" w:rsidR="007D18F2" w:rsidRPr="00BE6ED0" w:rsidRDefault="007D18F2" w:rsidP="007D18F2">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Access to information and legal assistance (including counselling and representation)</w:t>
      </w:r>
    </w:p>
    <w:p w14:paraId="3CDB762A" w14:textId="13587604" w:rsidR="007D18F2" w:rsidRDefault="007D18F2" w:rsidP="007D18F2">
      <w:pPr>
        <w:jc w:val="both"/>
      </w:pPr>
    </w:p>
    <w:p w14:paraId="43B43CD6" w14:textId="77777777" w:rsidR="005C75A1" w:rsidRDefault="005C75A1" w:rsidP="007D18F2">
      <w:pPr>
        <w:jc w:val="both"/>
      </w:pPr>
    </w:p>
    <w:p w14:paraId="4A50F84F" w14:textId="77777777" w:rsidR="007D18F2" w:rsidRDefault="007D18F2" w:rsidP="007D18F2">
      <w:pPr>
        <w:jc w:val="both"/>
      </w:pPr>
    </w:p>
    <w:p w14:paraId="1F52BA61" w14:textId="77777777" w:rsidR="007D18F2" w:rsidRDefault="007D18F2" w:rsidP="007D18F2">
      <w:pPr>
        <w:jc w:val="both"/>
      </w:pPr>
    </w:p>
    <w:p w14:paraId="43C4E03F" w14:textId="77777777" w:rsidR="007D18F2" w:rsidRDefault="007D18F2" w:rsidP="007D18F2">
      <w:pPr>
        <w:jc w:val="both"/>
      </w:pPr>
    </w:p>
    <w:p w14:paraId="72DBB5E3" w14:textId="77777777" w:rsidR="007D18F2" w:rsidRPr="00BE6ED0" w:rsidRDefault="007D18F2" w:rsidP="007D18F2">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Provision of interpretation services (</w:t>
      </w:r>
      <w:proofErr w:type="gramStart"/>
      <w:r w:rsidRPr="00BE6ED0">
        <w:rPr>
          <w:rFonts w:eastAsia="Arial" w:cstheme="minorHAnsi"/>
          <w:b/>
          <w:color w:val="333399"/>
          <w:sz w:val="24"/>
          <w:szCs w:val="24"/>
          <w:lang w:val="en-US"/>
        </w:rPr>
        <w:t>e.g.</w:t>
      </w:r>
      <w:proofErr w:type="gramEnd"/>
      <w:r w:rsidRPr="00BE6ED0">
        <w:rPr>
          <w:rFonts w:eastAsia="Arial" w:cstheme="minorHAnsi"/>
          <w:b/>
          <w:color w:val="333399"/>
          <w:sz w:val="24"/>
          <w:szCs w:val="24"/>
          <w:lang w:val="en-US"/>
        </w:rPr>
        <w:t xml:space="preserve"> introduction of innovative methods for interpretation, increase/decrease in the number of languages available, change in qualifications required for interpreters)</w:t>
      </w:r>
    </w:p>
    <w:p w14:paraId="71DDBFF8" w14:textId="77777777" w:rsidR="007D18F2" w:rsidRDefault="007D18F2" w:rsidP="007D18F2">
      <w:pPr>
        <w:jc w:val="both"/>
      </w:pPr>
    </w:p>
    <w:p w14:paraId="631A8CB2" w14:textId="77777777" w:rsidR="007D18F2" w:rsidRDefault="007D18F2" w:rsidP="007D18F2">
      <w:pPr>
        <w:jc w:val="both"/>
      </w:pPr>
    </w:p>
    <w:p w14:paraId="0C946F65" w14:textId="77777777" w:rsidR="007D18F2" w:rsidRDefault="007D18F2" w:rsidP="007D18F2">
      <w:pPr>
        <w:jc w:val="both"/>
      </w:pPr>
    </w:p>
    <w:p w14:paraId="35822A4B" w14:textId="77777777" w:rsidR="007D18F2" w:rsidRDefault="007D18F2" w:rsidP="007D18F2">
      <w:pPr>
        <w:jc w:val="both"/>
      </w:pPr>
    </w:p>
    <w:p w14:paraId="5D9D465A" w14:textId="77777777" w:rsidR="007D18F2" w:rsidRDefault="007D18F2" w:rsidP="007D18F2">
      <w:pPr>
        <w:jc w:val="both"/>
      </w:pPr>
    </w:p>
    <w:p w14:paraId="75A0D2FE" w14:textId="77777777" w:rsidR="007D18F2" w:rsidRPr="00BE6ED0" w:rsidRDefault="007D18F2" w:rsidP="007D18F2">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Dublin procedures (including the </w:t>
      </w:r>
      <w:proofErr w:type="spellStart"/>
      <w:r w:rsidRPr="00BE6ED0">
        <w:rPr>
          <w:rFonts w:eastAsia="Arial" w:cstheme="minorHAnsi"/>
          <w:b/>
          <w:color w:val="333399"/>
          <w:sz w:val="24"/>
          <w:szCs w:val="24"/>
          <w:lang w:val="en-US"/>
        </w:rPr>
        <w:t>organisational</w:t>
      </w:r>
      <w:proofErr w:type="spellEnd"/>
      <w:r w:rsidRPr="00BE6ED0">
        <w:rPr>
          <w:rFonts w:eastAsia="Arial" w:cstheme="minorHAnsi"/>
          <w:b/>
          <w:color w:val="333399"/>
          <w:sz w:val="24"/>
          <w:szCs w:val="24"/>
          <w:lang w:val="en-US"/>
        </w:rPr>
        <w:t xml:space="preserve"> framework, practical developments, suspension of transfers to selected countries, detention in the framework of Dublin procedures)</w:t>
      </w:r>
    </w:p>
    <w:p w14:paraId="35CB547C" w14:textId="77777777" w:rsidR="007D18F2" w:rsidRDefault="007D18F2" w:rsidP="007D18F2">
      <w:pPr>
        <w:jc w:val="both"/>
      </w:pPr>
    </w:p>
    <w:p w14:paraId="5474D66A" w14:textId="77777777" w:rsidR="007D18F2" w:rsidRDefault="007D18F2" w:rsidP="007D18F2">
      <w:pPr>
        <w:jc w:val="both"/>
      </w:pPr>
    </w:p>
    <w:p w14:paraId="21527148" w14:textId="77777777" w:rsidR="007D18F2" w:rsidRDefault="007D18F2" w:rsidP="007D18F2">
      <w:pPr>
        <w:jc w:val="both"/>
      </w:pPr>
    </w:p>
    <w:p w14:paraId="72D0A9A6" w14:textId="77777777" w:rsidR="007D18F2" w:rsidRDefault="007D18F2" w:rsidP="007D18F2">
      <w:pPr>
        <w:jc w:val="both"/>
      </w:pPr>
    </w:p>
    <w:p w14:paraId="4A0944FB"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Special procedures (including border procedures, procedures in transit zones, accelerated procedures, admissibility procedures, </w:t>
      </w:r>
      <w:proofErr w:type="spellStart"/>
      <w:r w:rsidRPr="00BE6ED0">
        <w:rPr>
          <w:rFonts w:eastAsia="Arial" w:cstheme="minorHAnsi"/>
          <w:b/>
          <w:color w:val="333399"/>
          <w:sz w:val="24"/>
          <w:szCs w:val="24"/>
          <w:lang w:val="en-US"/>
        </w:rPr>
        <w:t>prioritised</w:t>
      </w:r>
      <w:proofErr w:type="spellEnd"/>
      <w:r w:rsidRPr="00BE6ED0">
        <w:rPr>
          <w:rFonts w:eastAsia="Arial" w:cstheme="minorHAnsi"/>
          <w:b/>
          <w:color w:val="333399"/>
          <w:sz w:val="24"/>
          <w:szCs w:val="24"/>
          <w:lang w:val="en-US"/>
        </w:rPr>
        <w:t xml:space="preserve"> </w:t>
      </w:r>
      <w:proofErr w:type="gramStart"/>
      <w:r w:rsidRPr="00BE6ED0">
        <w:rPr>
          <w:rFonts w:eastAsia="Arial" w:cstheme="minorHAnsi"/>
          <w:b/>
          <w:color w:val="333399"/>
          <w:sz w:val="24"/>
          <w:szCs w:val="24"/>
          <w:lang w:val="en-US"/>
        </w:rPr>
        <w:t>procedures</w:t>
      </w:r>
      <w:proofErr w:type="gramEnd"/>
      <w:r w:rsidRPr="00BE6ED0">
        <w:rPr>
          <w:rFonts w:eastAsia="Arial" w:cstheme="minorHAnsi"/>
          <w:b/>
          <w:color w:val="333399"/>
          <w:sz w:val="24"/>
          <w:szCs w:val="24"/>
          <w:lang w:val="en-US"/>
        </w:rPr>
        <w:t xml:space="preserve"> or any special procedure for selected caseloads)</w:t>
      </w:r>
    </w:p>
    <w:p w14:paraId="60A83ECD" w14:textId="77777777" w:rsidR="007D18F2" w:rsidRDefault="007D18F2" w:rsidP="007D18F2">
      <w:pPr>
        <w:jc w:val="both"/>
      </w:pPr>
    </w:p>
    <w:p w14:paraId="317E34B6" w14:textId="77777777" w:rsidR="007D18F2" w:rsidRDefault="007D18F2" w:rsidP="007D18F2">
      <w:pPr>
        <w:jc w:val="both"/>
      </w:pPr>
    </w:p>
    <w:p w14:paraId="51B8F5B8" w14:textId="77777777" w:rsidR="007D18F2" w:rsidRDefault="007D18F2" w:rsidP="007D18F2">
      <w:pPr>
        <w:jc w:val="both"/>
      </w:pPr>
    </w:p>
    <w:p w14:paraId="3FB7783F" w14:textId="77777777" w:rsidR="007D18F2" w:rsidRDefault="007D18F2" w:rsidP="007D18F2">
      <w:pPr>
        <w:jc w:val="both"/>
      </w:pPr>
    </w:p>
    <w:p w14:paraId="7C8CF202"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Reception of applicants for international protection (including information on reception capacities – increase/decrease/stable, material reception conditions - housing, food, clothing and financial support, contingency planning in reception, access to the </w:t>
      </w:r>
      <w:proofErr w:type="spellStart"/>
      <w:r w:rsidRPr="00BE6ED0">
        <w:rPr>
          <w:rFonts w:eastAsia="Arial" w:cstheme="minorHAnsi"/>
          <w:b/>
          <w:color w:val="333399"/>
          <w:sz w:val="24"/>
          <w:szCs w:val="24"/>
          <w:lang w:val="en-US"/>
        </w:rPr>
        <w:t>labour</w:t>
      </w:r>
      <w:proofErr w:type="spellEnd"/>
      <w:r w:rsidRPr="00BE6ED0">
        <w:rPr>
          <w:rFonts w:eastAsia="Arial" w:cstheme="minorHAnsi"/>
          <w:b/>
          <w:color w:val="333399"/>
          <w:sz w:val="24"/>
          <w:szCs w:val="24"/>
          <w:lang w:val="en-US"/>
        </w:rPr>
        <w:t xml:space="preserve"> market and vocational training, medical care, schooling and education, </w:t>
      </w:r>
      <w:proofErr w:type="gramStart"/>
      <w:r w:rsidRPr="00BE6ED0">
        <w:rPr>
          <w:rFonts w:eastAsia="Arial" w:cstheme="minorHAnsi"/>
          <w:b/>
          <w:color w:val="333399"/>
          <w:sz w:val="24"/>
          <w:szCs w:val="24"/>
          <w:lang w:val="en-US"/>
        </w:rPr>
        <w:t>residence</w:t>
      </w:r>
      <w:proofErr w:type="gramEnd"/>
      <w:r w:rsidRPr="00BE6ED0">
        <w:rPr>
          <w:rFonts w:eastAsia="Arial" w:cstheme="minorHAnsi"/>
          <w:b/>
          <w:color w:val="333399"/>
          <w:sz w:val="24"/>
          <w:szCs w:val="24"/>
          <w:lang w:val="en-US"/>
        </w:rPr>
        <w:t xml:space="preserve"> and freedom of movement)</w:t>
      </w:r>
    </w:p>
    <w:p w14:paraId="462D30DC" w14:textId="3EF32F0E" w:rsidR="007D18F2" w:rsidRDefault="007D18F2" w:rsidP="007D18F2">
      <w:pPr>
        <w:jc w:val="both"/>
      </w:pPr>
    </w:p>
    <w:p w14:paraId="1260F1B3" w14:textId="5DEF5632" w:rsidR="00934E22" w:rsidRDefault="00AC676B" w:rsidP="0049336F">
      <w:pPr>
        <w:ind w:left="360"/>
        <w:jc w:val="both"/>
      </w:pPr>
      <w:r>
        <w:t>A</w:t>
      </w:r>
      <w:r w:rsidR="00934E22">
        <w:t xml:space="preserve">ccess to the </w:t>
      </w:r>
      <w:proofErr w:type="spellStart"/>
      <w:r w:rsidR="00934E22">
        <w:t>labour</w:t>
      </w:r>
      <w:proofErr w:type="spellEnd"/>
      <w:r w:rsidR="00934E22">
        <w:t xml:space="preserve"> market and vocational training</w:t>
      </w:r>
      <w:r>
        <w:t xml:space="preserve"> for applicants of international protection.</w:t>
      </w:r>
    </w:p>
    <w:p w14:paraId="42CF2AD7" w14:textId="20AB5765" w:rsidR="0049336F" w:rsidRDefault="0049336F" w:rsidP="0049336F">
      <w:pPr>
        <w:ind w:left="360"/>
        <w:jc w:val="both"/>
      </w:pPr>
    </w:p>
    <w:p w14:paraId="0CE7B049" w14:textId="1E597F72" w:rsidR="0049336F" w:rsidRPr="00855601" w:rsidRDefault="0049336F" w:rsidP="0049336F">
      <w:pPr>
        <w:ind w:left="360"/>
        <w:jc w:val="both"/>
        <w:rPr>
          <w:b/>
          <w:bCs/>
          <w:lang w:val="en-GB"/>
        </w:rPr>
      </w:pPr>
      <w:r w:rsidRPr="00855601">
        <w:rPr>
          <w:b/>
          <w:bCs/>
          <w:lang w:val="en-GB"/>
        </w:rPr>
        <w:t xml:space="preserve">ACVZ (2021), </w:t>
      </w:r>
      <w:r w:rsidR="00D91CDE" w:rsidRPr="00855601">
        <w:rPr>
          <w:b/>
          <w:bCs/>
          <w:lang w:val="en-GB"/>
        </w:rPr>
        <w:t>‘</w:t>
      </w:r>
      <w:r w:rsidRPr="00855601">
        <w:rPr>
          <w:b/>
          <w:bCs/>
          <w:lang w:val="en-GB"/>
        </w:rPr>
        <w:t>From asylum seeker to healthcare provider</w:t>
      </w:r>
      <w:r w:rsidR="00D91CDE" w:rsidRPr="00855601">
        <w:rPr>
          <w:b/>
          <w:bCs/>
          <w:lang w:val="en-GB"/>
        </w:rPr>
        <w:t>’</w:t>
      </w:r>
      <w:r w:rsidRPr="00855601">
        <w:rPr>
          <w:b/>
          <w:bCs/>
          <w:lang w:val="en-GB"/>
        </w:rPr>
        <w:t xml:space="preserve">. </w:t>
      </w:r>
    </w:p>
    <w:p w14:paraId="2F62A814" w14:textId="193B829C" w:rsidR="0049336F" w:rsidRPr="00855601" w:rsidRDefault="0049336F" w:rsidP="00D91CDE">
      <w:pPr>
        <w:ind w:left="360"/>
        <w:jc w:val="both"/>
        <w:rPr>
          <w:lang w:val="en-GB"/>
        </w:rPr>
      </w:pPr>
      <w:r w:rsidRPr="0049336F">
        <w:rPr>
          <w:lang w:val="en"/>
        </w:rPr>
        <w:t xml:space="preserve">The Advisory Committee on Migration Affairs (ACVZ) concludes that the government and healthcare organizations should give asylum migrants a better chance to provide the extra hands that are needed in the healthcare sector. </w:t>
      </w:r>
    </w:p>
    <w:p w14:paraId="684476A3" w14:textId="77777777" w:rsidR="0049336F" w:rsidRDefault="0049336F" w:rsidP="0049336F">
      <w:pPr>
        <w:ind w:left="360"/>
        <w:jc w:val="both"/>
      </w:pPr>
    </w:p>
    <w:p w14:paraId="32F083A1" w14:textId="21D016C3" w:rsidR="00934E22" w:rsidRDefault="00381188" w:rsidP="00934E22">
      <w:pPr>
        <w:numPr>
          <w:ilvl w:val="0"/>
          <w:numId w:val="14"/>
        </w:numPr>
        <w:jc w:val="both"/>
      </w:pPr>
      <w:hyperlink r:id="rId15" w:history="1">
        <w:r w:rsidR="00934E22" w:rsidRPr="002446B5">
          <w:rPr>
            <w:rStyle w:val="Hyperlink"/>
            <w:lang w:val="en"/>
          </w:rPr>
          <w:t>From asylum seeker to healthcare provider</w:t>
        </w:r>
      </w:hyperlink>
    </w:p>
    <w:p w14:paraId="4705EF09" w14:textId="1B0E6275" w:rsidR="0049336F" w:rsidRDefault="0049336F" w:rsidP="0049336F">
      <w:pPr>
        <w:ind w:left="360"/>
        <w:jc w:val="both"/>
      </w:pPr>
    </w:p>
    <w:p w14:paraId="478AB19B" w14:textId="77777777" w:rsidR="007D18F2" w:rsidRDefault="007D18F2" w:rsidP="007D18F2">
      <w:pPr>
        <w:jc w:val="both"/>
      </w:pPr>
    </w:p>
    <w:p w14:paraId="2ECC6485"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Detention of applicants for international protection (including detention capacity – increase /decrease/stable, practices regarding detention, grounds for detention, alternatives to detention, time limit for detention)</w:t>
      </w:r>
    </w:p>
    <w:p w14:paraId="72391AA7" w14:textId="77777777" w:rsidR="007D18F2" w:rsidRDefault="007D18F2" w:rsidP="007D18F2">
      <w:pPr>
        <w:jc w:val="both"/>
      </w:pPr>
    </w:p>
    <w:p w14:paraId="2C4AB7E0" w14:textId="77654080" w:rsidR="0049336F" w:rsidRPr="00855601" w:rsidRDefault="0049336F" w:rsidP="0049336F">
      <w:pPr>
        <w:ind w:left="360"/>
        <w:rPr>
          <w:lang w:val="en-GB"/>
        </w:rPr>
      </w:pPr>
      <w:r w:rsidRPr="0049336F">
        <w:rPr>
          <w:b/>
          <w:bCs/>
          <w:lang w:val="en"/>
        </w:rPr>
        <w:t>ACVZ (2021) ‘Working on return together’</w:t>
      </w:r>
      <w:r>
        <w:rPr>
          <w:lang w:val="en"/>
        </w:rPr>
        <w:t>. A</w:t>
      </w:r>
      <w:r w:rsidRPr="00934E22">
        <w:rPr>
          <w:lang w:val="en"/>
        </w:rPr>
        <w:t>dvisory report on the effectiveness and diligent impl</w:t>
      </w:r>
      <w:r>
        <w:rPr>
          <w:lang w:val="en"/>
        </w:rPr>
        <w:t xml:space="preserve">ementation of migrant detention: </w:t>
      </w:r>
      <w:hyperlink r:id="rId16" w:history="1">
        <w:r w:rsidRPr="002446B5">
          <w:rPr>
            <w:rStyle w:val="Hyperlink"/>
            <w:lang w:val="en"/>
          </w:rPr>
          <w:t>Working on return together</w:t>
        </w:r>
      </w:hyperlink>
    </w:p>
    <w:p w14:paraId="5ACCEA9E" w14:textId="77777777" w:rsidR="007D18F2" w:rsidRDefault="007D18F2" w:rsidP="007D18F2">
      <w:pPr>
        <w:jc w:val="both"/>
      </w:pPr>
    </w:p>
    <w:p w14:paraId="7E6979A1" w14:textId="77777777" w:rsidR="0049336F" w:rsidRPr="00855601" w:rsidRDefault="0049336F" w:rsidP="0049336F">
      <w:pPr>
        <w:ind w:left="360"/>
        <w:jc w:val="both"/>
        <w:rPr>
          <w:lang w:val="en-GB"/>
        </w:rPr>
      </w:pPr>
      <w:r w:rsidRPr="0049336F">
        <w:rPr>
          <w:lang w:val="en"/>
        </w:rPr>
        <w:t>Recommendations on the effectiveness of detention</w:t>
      </w:r>
    </w:p>
    <w:p w14:paraId="2F6C0F2C" w14:textId="77777777" w:rsidR="0049336F" w:rsidRPr="00855601" w:rsidRDefault="0049336F" w:rsidP="0049336F">
      <w:pPr>
        <w:numPr>
          <w:ilvl w:val="0"/>
          <w:numId w:val="15"/>
        </w:numPr>
        <w:jc w:val="both"/>
        <w:rPr>
          <w:lang w:val="en-GB"/>
        </w:rPr>
      </w:pPr>
      <w:r w:rsidRPr="0049336F">
        <w:rPr>
          <w:lang w:val="en"/>
        </w:rPr>
        <w:t xml:space="preserve">Experiment more with less coercive supervision measures and improve the </w:t>
      </w:r>
      <w:proofErr w:type="gramStart"/>
      <w:r w:rsidRPr="0049336F">
        <w:rPr>
          <w:lang w:val="en"/>
        </w:rPr>
        <w:t>manner in which</w:t>
      </w:r>
      <w:proofErr w:type="gramEnd"/>
      <w:r w:rsidRPr="0049336F">
        <w:rPr>
          <w:lang w:val="en"/>
        </w:rPr>
        <w:t xml:space="preserve"> they are recorded.</w:t>
      </w:r>
    </w:p>
    <w:p w14:paraId="5F8EE439" w14:textId="77777777" w:rsidR="0049336F" w:rsidRPr="00855601" w:rsidRDefault="0049336F" w:rsidP="0049336F">
      <w:pPr>
        <w:numPr>
          <w:ilvl w:val="0"/>
          <w:numId w:val="15"/>
        </w:numPr>
        <w:jc w:val="both"/>
        <w:rPr>
          <w:lang w:val="en-GB"/>
        </w:rPr>
      </w:pPr>
      <w:r w:rsidRPr="0049336F">
        <w:rPr>
          <w:lang w:val="en"/>
        </w:rPr>
        <w:t>Promote voluntary return from detention more actively</w:t>
      </w:r>
    </w:p>
    <w:p w14:paraId="07D6455D" w14:textId="77777777" w:rsidR="0049336F" w:rsidRPr="00855601" w:rsidRDefault="0049336F" w:rsidP="0049336F">
      <w:pPr>
        <w:numPr>
          <w:ilvl w:val="0"/>
          <w:numId w:val="15"/>
        </w:numPr>
        <w:jc w:val="both"/>
        <w:rPr>
          <w:lang w:val="en-GB"/>
        </w:rPr>
      </w:pPr>
      <w:r w:rsidRPr="0049336F">
        <w:rPr>
          <w:lang w:val="en"/>
        </w:rPr>
        <w:lastRenderedPageBreak/>
        <w:t>Invest more in relations with countries of origin that fail to cooperate or insufficiently cooperate</w:t>
      </w:r>
    </w:p>
    <w:p w14:paraId="422FAE6B" w14:textId="77777777" w:rsidR="0049336F" w:rsidRPr="0049336F" w:rsidRDefault="0049336F" w:rsidP="0049336F">
      <w:pPr>
        <w:ind w:left="360"/>
        <w:jc w:val="both"/>
        <w:rPr>
          <w:lang w:val="nl-NL"/>
        </w:rPr>
      </w:pPr>
      <w:r w:rsidRPr="0049336F">
        <w:rPr>
          <w:lang w:val="en"/>
        </w:rPr>
        <w:t>Recommendations on the diligent implementation of detention</w:t>
      </w:r>
    </w:p>
    <w:p w14:paraId="3A430A1A" w14:textId="77777777" w:rsidR="0049336F" w:rsidRPr="00855601" w:rsidRDefault="0049336F" w:rsidP="0049336F">
      <w:pPr>
        <w:numPr>
          <w:ilvl w:val="0"/>
          <w:numId w:val="16"/>
        </w:numPr>
        <w:jc w:val="both"/>
        <w:rPr>
          <w:lang w:val="en-GB"/>
        </w:rPr>
      </w:pPr>
      <w:r w:rsidRPr="0049336F">
        <w:rPr>
          <w:lang w:val="en"/>
        </w:rPr>
        <w:t>Improve the facilities to ensure closer collaboration</w:t>
      </w:r>
    </w:p>
    <w:p w14:paraId="38E74902" w14:textId="77777777" w:rsidR="0049336F" w:rsidRPr="00855601" w:rsidRDefault="0049336F" w:rsidP="0049336F">
      <w:pPr>
        <w:numPr>
          <w:ilvl w:val="0"/>
          <w:numId w:val="16"/>
        </w:numPr>
        <w:jc w:val="both"/>
        <w:rPr>
          <w:lang w:val="en-GB"/>
        </w:rPr>
      </w:pPr>
      <w:r w:rsidRPr="0049336F">
        <w:rPr>
          <w:lang w:val="en"/>
        </w:rPr>
        <w:t xml:space="preserve">Achieve closer collaboration between the </w:t>
      </w:r>
      <w:proofErr w:type="spellStart"/>
      <w:r w:rsidRPr="0049336F">
        <w:rPr>
          <w:lang w:val="en"/>
        </w:rPr>
        <w:t>organisations</w:t>
      </w:r>
      <w:proofErr w:type="spellEnd"/>
      <w:r w:rsidRPr="0049336F">
        <w:rPr>
          <w:lang w:val="en"/>
        </w:rPr>
        <w:t xml:space="preserve"> involved and promote the further development of knowledge and expertise</w:t>
      </w:r>
    </w:p>
    <w:p w14:paraId="02518412" w14:textId="77777777" w:rsidR="007D18F2" w:rsidRDefault="007D18F2" w:rsidP="0049336F">
      <w:pPr>
        <w:ind w:left="360"/>
        <w:jc w:val="both"/>
      </w:pPr>
    </w:p>
    <w:p w14:paraId="0C4463C2"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Procedures at first instance (including relevant changes in: the authority in charge, </w:t>
      </w:r>
      <w:proofErr w:type="spellStart"/>
      <w:r w:rsidRPr="00BE6ED0">
        <w:rPr>
          <w:rFonts w:eastAsia="Arial" w:cstheme="minorHAnsi"/>
          <w:b/>
          <w:color w:val="333399"/>
          <w:sz w:val="24"/>
          <w:szCs w:val="24"/>
          <w:lang w:val="en-US"/>
        </w:rPr>
        <w:t>organisation</w:t>
      </w:r>
      <w:proofErr w:type="spellEnd"/>
      <w:r w:rsidRPr="00BE6ED0">
        <w:rPr>
          <w:rFonts w:eastAsia="Arial" w:cstheme="minorHAnsi"/>
          <w:b/>
          <w:color w:val="333399"/>
          <w:sz w:val="24"/>
          <w:szCs w:val="24"/>
          <w:lang w:val="en-US"/>
        </w:rPr>
        <w:t xml:space="preserve"> of the process, interviews, evidence assessment, determination of international protection status, decision-making, timeframes, case management - including backlog management)</w:t>
      </w:r>
    </w:p>
    <w:p w14:paraId="36B3CC51" w14:textId="4827E8ED" w:rsidR="007D18F2" w:rsidRDefault="007D18F2" w:rsidP="007D18F2"/>
    <w:p w14:paraId="6611DEF7" w14:textId="6B68840C" w:rsidR="008C0D69" w:rsidRPr="00855601" w:rsidRDefault="008C0D69" w:rsidP="00573B28">
      <w:pPr>
        <w:ind w:left="720"/>
        <w:rPr>
          <w:lang w:val="nl-NL"/>
        </w:rPr>
      </w:pPr>
      <w:r w:rsidRPr="00573B28">
        <w:rPr>
          <w:b/>
          <w:bCs/>
        </w:rPr>
        <w:t xml:space="preserve">ACVZ (2021). </w:t>
      </w:r>
      <w:r w:rsidR="00573B28">
        <w:rPr>
          <w:b/>
          <w:bCs/>
        </w:rPr>
        <w:t>Legislative advice for</w:t>
      </w:r>
      <w:r w:rsidRPr="00573B28">
        <w:rPr>
          <w:b/>
          <w:bCs/>
        </w:rPr>
        <w:t xml:space="preserve"> regulating the registration phase and the first hearing</w:t>
      </w:r>
      <w:r w:rsidR="00F40F7E">
        <w:t xml:space="preserve">. </w:t>
      </w:r>
      <w:r w:rsidR="00F40F7E" w:rsidRPr="00855601">
        <w:rPr>
          <w:lang w:val="nl-NL"/>
        </w:rPr>
        <w:t>(</w:t>
      </w:r>
      <w:r w:rsidRPr="00855601">
        <w:rPr>
          <w:lang w:val="nl-NL"/>
        </w:rPr>
        <w:t>Dutch)</w:t>
      </w:r>
    </w:p>
    <w:p w14:paraId="3FAADC53" w14:textId="53CBC6F2" w:rsidR="008C0D69" w:rsidRPr="00855601" w:rsidRDefault="00381188" w:rsidP="008C0D69">
      <w:pPr>
        <w:ind w:left="720"/>
        <w:rPr>
          <w:lang w:val="nl-NL"/>
        </w:rPr>
      </w:pPr>
      <w:hyperlink r:id="rId17" w:history="1">
        <w:r w:rsidR="008C0D69" w:rsidRPr="00855601">
          <w:rPr>
            <w:rStyle w:val="Hyperlink"/>
            <w:lang w:val="nl-NL"/>
          </w:rPr>
          <w:t xml:space="preserve">Wetsadvies wijziging </w:t>
        </w:r>
        <w:proofErr w:type="spellStart"/>
        <w:r w:rsidR="008C0D69" w:rsidRPr="00855601">
          <w:rPr>
            <w:rStyle w:val="Hyperlink"/>
            <w:lang w:val="nl-NL"/>
          </w:rPr>
          <w:t>Vb</w:t>
        </w:r>
        <w:proofErr w:type="spellEnd"/>
        <w:r w:rsidR="008C0D69" w:rsidRPr="00855601">
          <w:rPr>
            <w:rStyle w:val="Hyperlink"/>
            <w:lang w:val="nl-NL"/>
          </w:rPr>
          <w:t xml:space="preserve"> regelen aanmeldfase en vervallen eerste gehoor | Advies | Adviescommissie voor Vreemdelingenzaken</w:t>
        </w:r>
      </w:hyperlink>
    </w:p>
    <w:p w14:paraId="4B9C19B0" w14:textId="77777777" w:rsidR="008C0D69" w:rsidRPr="00855601" w:rsidRDefault="008C0D69" w:rsidP="008C0D69">
      <w:pPr>
        <w:ind w:left="720"/>
        <w:rPr>
          <w:lang w:val="nl-NL"/>
        </w:rPr>
      </w:pPr>
    </w:p>
    <w:p w14:paraId="3E1FA796" w14:textId="48CE0BDD" w:rsidR="008C0D69" w:rsidRDefault="00573B28" w:rsidP="00573B28">
      <w:pPr>
        <w:ind w:left="720"/>
      </w:pPr>
      <w:r>
        <w:t xml:space="preserve">The </w:t>
      </w:r>
      <w:r w:rsidR="008C0D69">
        <w:t>ACVZ makes reservations about asking for asylum motives in the registration interview.</w:t>
      </w:r>
      <w:r w:rsidR="008C0D69" w:rsidRPr="008C0D69">
        <w:t xml:space="preserve"> </w:t>
      </w:r>
      <w:r w:rsidR="008C0D69">
        <w:t>The ACVZ requests the government to</w:t>
      </w:r>
      <w:r w:rsidR="008C0D69" w:rsidRPr="008C0D69">
        <w:t xml:space="preserve"> justify why it is necessary to ask about asylum motives in the </w:t>
      </w:r>
      <w:r>
        <w:t>registratio</w:t>
      </w:r>
      <w:r w:rsidR="008C0D69" w:rsidRPr="008C0D69">
        <w:t>n phase and in particular what safeguards there are for minor and vulnerable asylum seekers.</w:t>
      </w:r>
    </w:p>
    <w:p w14:paraId="04880D3B" w14:textId="77777777" w:rsidR="008C0D69" w:rsidRDefault="008C0D69" w:rsidP="008C0D69">
      <w:pPr>
        <w:ind w:left="720"/>
      </w:pPr>
    </w:p>
    <w:p w14:paraId="552DE12D" w14:textId="77777777" w:rsidR="007D18F2" w:rsidRDefault="007D18F2" w:rsidP="007D18F2">
      <w:pPr>
        <w:jc w:val="both"/>
      </w:pPr>
    </w:p>
    <w:p w14:paraId="5C24710F"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Procedures at second instance (including </w:t>
      </w:r>
      <w:proofErr w:type="spellStart"/>
      <w:r w:rsidRPr="00BE6ED0">
        <w:rPr>
          <w:rFonts w:eastAsia="Arial" w:cstheme="minorHAnsi"/>
          <w:b/>
          <w:color w:val="333399"/>
          <w:sz w:val="24"/>
          <w:szCs w:val="24"/>
          <w:lang w:val="en-US"/>
        </w:rPr>
        <w:t>organisation</w:t>
      </w:r>
      <w:proofErr w:type="spellEnd"/>
      <w:r w:rsidRPr="00BE6ED0">
        <w:rPr>
          <w:rFonts w:eastAsia="Arial" w:cstheme="minorHAnsi"/>
          <w:b/>
          <w:color w:val="333399"/>
          <w:sz w:val="24"/>
          <w:szCs w:val="24"/>
          <w:lang w:val="en-US"/>
        </w:rPr>
        <w:t xml:space="preserve"> of the process, hearings, written procedures, timeframes, case management - including backlog management)</w:t>
      </w:r>
    </w:p>
    <w:p w14:paraId="7D1233FF" w14:textId="16ED48D3" w:rsidR="007D18F2" w:rsidRDefault="007D18F2" w:rsidP="007D18F2">
      <w:pPr>
        <w:jc w:val="both"/>
      </w:pPr>
    </w:p>
    <w:p w14:paraId="77063C0D" w14:textId="77777777" w:rsidR="00573B28" w:rsidRPr="00855601" w:rsidRDefault="00573B28" w:rsidP="00573B28">
      <w:pPr>
        <w:ind w:left="720"/>
        <w:rPr>
          <w:b/>
          <w:bCs/>
          <w:lang w:val="nl-NL"/>
        </w:rPr>
      </w:pPr>
      <w:r w:rsidRPr="008C0D69">
        <w:rPr>
          <w:b/>
          <w:bCs/>
        </w:rPr>
        <w:t>ACVZ (2021), Remote hearing. Legal protection of asylum seekers under pressure.</w:t>
      </w:r>
      <w:r>
        <w:rPr>
          <w:b/>
          <w:bCs/>
        </w:rPr>
        <w:t xml:space="preserve"> </w:t>
      </w:r>
      <w:proofErr w:type="spellStart"/>
      <w:r w:rsidRPr="00855601">
        <w:rPr>
          <w:lang w:val="nl-NL"/>
        </w:rPr>
        <w:t>Article</w:t>
      </w:r>
      <w:proofErr w:type="spellEnd"/>
      <w:r w:rsidRPr="00855601">
        <w:rPr>
          <w:lang w:val="nl-NL"/>
        </w:rPr>
        <w:t xml:space="preserve"> in Dutch.</w:t>
      </w:r>
    </w:p>
    <w:p w14:paraId="453AB423" w14:textId="77777777" w:rsidR="00573B28" w:rsidRPr="00855601" w:rsidRDefault="00381188" w:rsidP="00573B28">
      <w:pPr>
        <w:ind w:left="720"/>
        <w:rPr>
          <w:lang w:val="nl-NL"/>
        </w:rPr>
      </w:pPr>
      <w:hyperlink r:id="rId18" w:history="1">
        <w:r w:rsidR="00573B28" w:rsidRPr="00855601">
          <w:rPr>
            <w:rStyle w:val="Hyperlink"/>
            <w:lang w:val="nl-NL"/>
          </w:rPr>
          <w:t>Op afstand horen. Rechtsbescherming asielzoekers onder druk | Publicatie | Adviescommissie voor Vreemdelingenzaken</w:t>
        </w:r>
      </w:hyperlink>
    </w:p>
    <w:p w14:paraId="781D6E77" w14:textId="77777777" w:rsidR="00573B28" w:rsidRPr="00855601" w:rsidRDefault="00573B28" w:rsidP="00573B28">
      <w:pPr>
        <w:ind w:left="360"/>
        <w:rPr>
          <w:lang w:val="nl-NL"/>
        </w:rPr>
      </w:pPr>
    </w:p>
    <w:p w14:paraId="1C23BD93" w14:textId="77777777" w:rsidR="00573B28" w:rsidRPr="008C0D69" w:rsidRDefault="00573B28" w:rsidP="00573B28">
      <w:pPr>
        <w:ind w:left="720"/>
        <w:rPr>
          <w:b/>
          <w:bCs/>
        </w:rPr>
      </w:pPr>
      <w:r>
        <w:t>T</w:t>
      </w:r>
      <w:r w:rsidRPr="008C0D69">
        <w:t xml:space="preserve">he ACVZ has also published a podcast </w:t>
      </w:r>
      <w:r>
        <w:t xml:space="preserve">in Dutch </w:t>
      </w:r>
      <w:r w:rsidRPr="008C0D69">
        <w:t xml:space="preserve">about remote hearing. In it, a judge, a </w:t>
      </w:r>
      <w:proofErr w:type="gramStart"/>
      <w:r w:rsidRPr="008C0D69">
        <w:t>lawyer</w:t>
      </w:r>
      <w:proofErr w:type="gramEnd"/>
      <w:r w:rsidRPr="008C0D69">
        <w:t xml:space="preserve"> and a legal psychologist discuss the digital developments of hearing asylum seekers remotely and go deeper into the question of how the legal protection of asylum seekers is guaranteed.</w:t>
      </w:r>
      <w:r>
        <w:t xml:space="preserve"> </w:t>
      </w:r>
      <w:hyperlink r:id="rId19" w:history="1">
        <w:r w:rsidRPr="008C0D69">
          <w:rPr>
            <w:rStyle w:val="Hyperlink"/>
          </w:rPr>
          <w:t xml:space="preserve">Op </w:t>
        </w:r>
        <w:proofErr w:type="spellStart"/>
        <w:r w:rsidRPr="008C0D69">
          <w:rPr>
            <w:rStyle w:val="Hyperlink"/>
          </w:rPr>
          <w:t>afstand</w:t>
        </w:r>
        <w:proofErr w:type="spellEnd"/>
        <w:r w:rsidRPr="008C0D69">
          <w:rPr>
            <w:rStyle w:val="Hyperlink"/>
          </w:rPr>
          <w:t xml:space="preserve"> </w:t>
        </w:r>
        <w:proofErr w:type="spellStart"/>
        <w:r w:rsidRPr="008C0D69">
          <w:rPr>
            <w:rStyle w:val="Hyperlink"/>
          </w:rPr>
          <w:t>horen</w:t>
        </w:r>
        <w:proofErr w:type="spellEnd"/>
        <w:r w:rsidRPr="008C0D69">
          <w:rPr>
            <w:rStyle w:val="Hyperlink"/>
          </w:rPr>
          <w:t xml:space="preserve"> | Podcast op Spotify</w:t>
        </w:r>
      </w:hyperlink>
    </w:p>
    <w:p w14:paraId="280F88F7" w14:textId="77777777" w:rsidR="00573B28" w:rsidRDefault="00573B28" w:rsidP="007D18F2">
      <w:pPr>
        <w:jc w:val="both"/>
      </w:pPr>
    </w:p>
    <w:p w14:paraId="3E61BEE3" w14:textId="77777777" w:rsidR="007D18F2" w:rsidRDefault="007D18F2" w:rsidP="007D18F2">
      <w:pPr>
        <w:jc w:val="both"/>
      </w:pPr>
    </w:p>
    <w:p w14:paraId="0FF9E399"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Availability and use of </w:t>
      </w:r>
      <w:proofErr w:type="gramStart"/>
      <w:r w:rsidRPr="00BE6ED0">
        <w:rPr>
          <w:rFonts w:eastAsia="Arial" w:cstheme="minorHAnsi"/>
          <w:b/>
          <w:color w:val="333399"/>
          <w:sz w:val="24"/>
          <w:szCs w:val="24"/>
          <w:lang w:val="en-US"/>
        </w:rPr>
        <w:t>country of origin</w:t>
      </w:r>
      <w:proofErr w:type="gramEnd"/>
      <w:r w:rsidRPr="00BE6ED0">
        <w:rPr>
          <w:rFonts w:eastAsia="Arial" w:cstheme="minorHAnsi"/>
          <w:b/>
          <w:color w:val="333399"/>
          <w:sz w:val="24"/>
          <w:szCs w:val="24"/>
          <w:lang w:val="en-US"/>
        </w:rPr>
        <w:t xml:space="preserve"> information (including </w:t>
      </w:r>
      <w:proofErr w:type="spellStart"/>
      <w:r w:rsidRPr="00BE6ED0">
        <w:rPr>
          <w:rFonts w:eastAsia="Arial" w:cstheme="minorHAnsi"/>
          <w:b/>
          <w:color w:val="333399"/>
          <w:sz w:val="24"/>
          <w:szCs w:val="24"/>
          <w:lang w:val="en-US"/>
        </w:rPr>
        <w:t>organisation</w:t>
      </w:r>
      <w:proofErr w:type="spellEnd"/>
      <w:r w:rsidRPr="00BE6ED0">
        <w:rPr>
          <w:rFonts w:eastAsia="Arial" w:cstheme="minorHAnsi"/>
          <w:b/>
          <w:color w:val="333399"/>
          <w:sz w:val="24"/>
          <w:szCs w:val="24"/>
          <w:lang w:val="en-US"/>
        </w:rPr>
        <w:t>, methodology, products, databases, fact-finding missions, cooperation between stakeholders)</w:t>
      </w:r>
    </w:p>
    <w:p w14:paraId="009D191C" w14:textId="77777777" w:rsidR="007D18F2" w:rsidRPr="005C75A1" w:rsidRDefault="007D18F2" w:rsidP="007D18F2">
      <w:pPr>
        <w:jc w:val="both"/>
        <w:rPr>
          <w:lang w:val="en-GB"/>
        </w:rPr>
      </w:pPr>
    </w:p>
    <w:p w14:paraId="2527FF43" w14:textId="77777777" w:rsidR="007D18F2" w:rsidRDefault="007D18F2" w:rsidP="007D18F2">
      <w:pPr>
        <w:jc w:val="both"/>
      </w:pPr>
    </w:p>
    <w:p w14:paraId="0A7865D7"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lastRenderedPageBreak/>
        <w:t xml:space="preserve">Vulnerable applicants (including definitions, special reception facilities, identification mechanisms/referrals, procedural standards, provision of information, age assessment, legal </w:t>
      </w:r>
      <w:proofErr w:type="gramStart"/>
      <w:r w:rsidRPr="00BE6ED0">
        <w:rPr>
          <w:rFonts w:eastAsia="Arial" w:cstheme="minorHAnsi"/>
          <w:b/>
          <w:color w:val="333399"/>
          <w:sz w:val="24"/>
          <w:szCs w:val="24"/>
          <w:lang w:val="en-US"/>
        </w:rPr>
        <w:t>guardianship</w:t>
      </w:r>
      <w:proofErr w:type="gramEnd"/>
      <w:r w:rsidRPr="00BE6ED0">
        <w:rPr>
          <w:rFonts w:eastAsia="Arial" w:cstheme="minorHAnsi"/>
          <w:b/>
          <w:color w:val="333399"/>
          <w:sz w:val="24"/>
          <w:szCs w:val="24"/>
          <w:lang w:val="en-US"/>
        </w:rPr>
        <w:t xml:space="preserve"> and foster care for unaccompanied and separated children)</w:t>
      </w:r>
    </w:p>
    <w:p w14:paraId="47E79AEF" w14:textId="77777777" w:rsidR="007D18F2" w:rsidRDefault="007D18F2" w:rsidP="007D18F2">
      <w:pPr>
        <w:tabs>
          <w:tab w:val="left" w:pos="469"/>
        </w:tabs>
        <w:jc w:val="both"/>
        <w:rPr>
          <w:b/>
          <w:color w:val="333399"/>
          <w:sz w:val="21"/>
        </w:rPr>
      </w:pPr>
    </w:p>
    <w:p w14:paraId="1B2F94A6" w14:textId="748EBF39" w:rsidR="007D18F2" w:rsidRDefault="007D18F2" w:rsidP="007D18F2">
      <w:pPr>
        <w:tabs>
          <w:tab w:val="left" w:pos="469"/>
        </w:tabs>
        <w:jc w:val="both"/>
        <w:rPr>
          <w:b/>
          <w:color w:val="333399"/>
          <w:sz w:val="21"/>
        </w:rPr>
      </w:pPr>
    </w:p>
    <w:p w14:paraId="47B89539" w14:textId="77777777" w:rsidR="007D18F2" w:rsidRDefault="007D18F2" w:rsidP="007D18F2">
      <w:pPr>
        <w:tabs>
          <w:tab w:val="left" w:pos="469"/>
        </w:tabs>
        <w:jc w:val="both"/>
        <w:rPr>
          <w:b/>
          <w:color w:val="333399"/>
          <w:sz w:val="21"/>
        </w:rPr>
      </w:pPr>
    </w:p>
    <w:p w14:paraId="0F419715"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Content of protection (including access to social security, social assistance, healthcare, </w:t>
      </w:r>
      <w:proofErr w:type="gramStart"/>
      <w:r w:rsidRPr="00BE6ED0">
        <w:rPr>
          <w:rFonts w:eastAsia="Arial" w:cstheme="minorHAnsi"/>
          <w:b/>
          <w:color w:val="333399"/>
          <w:sz w:val="24"/>
          <w:szCs w:val="24"/>
          <w:lang w:val="en-US"/>
        </w:rPr>
        <w:t>housing</w:t>
      </w:r>
      <w:proofErr w:type="gramEnd"/>
      <w:r w:rsidRPr="00BE6ED0">
        <w:rPr>
          <w:rFonts w:eastAsia="Arial" w:cstheme="minorHAnsi"/>
          <w:b/>
          <w:color w:val="333399"/>
          <w:sz w:val="24"/>
          <w:szCs w:val="24"/>
          <w:lang w:val="en-US"/>
        </w:rPr>
        <w:t xml:space="preserve"> and other basic services; integration into the </w:t>
      </w:r>
      <w:proofErr w:type="spellStart"/>
      <w:r w:rsidRPr="00BE6ED0">
        <w:rPr>
          <w:rFonts w:eastAsia="Arial" w:cstheme="minorHAnsi"/>
          <w:b/>
          <w:color w:val="333399"/>
          <w:sz w:val="24"/>
          <w:szCs w:val="24"/>
          <w:lang w:val="en-US"/>
        </w:rPr>
        <w:t>labour</w:t>
      </w:r>
      <w:proofErr w:type="spellEnd"/>
      <w:r w:rsidRPr="00BE6ED0">
        <w:rPr>
          <w:rFonts w:eastAsia="Arial" w:cstheme="minorHAnsi"/>
          <w:b/>
          <w:color w:val="333399"/>
          <w:sz w:val="24"/>
          <w:szCs w:val="24"/>
          <w:lang w:val="en-US"/>
        </w:rPr>
        <w:t xml:space="preserve"> market; measures to enhance language skills; measures to improve attainment in schooling and/or the education system and/or vocational training)</w:t>
      </w:r>
    </w:p>
    <w:p w14:paraId="5BAF8E36" w14:textId="28016870" w:rsidR="007D18F2" w:rsidRDefault="007D18F2" w:rsidP="007D18F2">
      <w:pPr>
        <w:tabs>
          <w:tab w:val="left" w:pos="644"/>
        </w:tabs>
        <w:spacing w:after="3" w:line="302" w:lineRule="auto"/>
        <w:ind w:right="380"/>
        <w:jc w:val="both"/>
        <w:rPr>
          <w:b/>
          <w:sz w:val="21"/>
        </w:rPr>
      </w:pPr>
    </w:p>
    <w:p w14:paraId="6A395AF9" w14:textId="6975B123" w:rsidR="00D81513" w:rsidRDefault="00D81513" w:rsidP="00D81513">
      <w:pPr>
        <w:ind w:left="360"/>
        <w:jc w:val="both"/>
      </w:pPr>
      <w:r>
        <w:t xml:space="preserve">See also under para. 6 </w:t>
      </w:r>
    </w:p>
    <w:p w14:paraId="3563EA4F" w14:textId="77777777" w:rsidR="00D81513" w:rsidRDefault="00D81513" w:rsidP="00D81513">
      <w:pPr>
        <w:ind w:left="360"/>
        <w:jc w:val="both"/>
      </w:pPr>
    </w:p>
    <w:p w14:paraId="5520A919" w14:textId="77777777" w:rsidR="00D81513" w:rsidRPr="00855601" w:rsidRDefault="00D81513" w:rsidP="00D81513">
      <w:pPr>
        <w:ind w:left="360"/>
        <w:jc w:val="both"/>
        <w:rPr>
          <w:b/>
          <w:bCs/>
          <w:lang w:val="en-GB"/>
        </w:rPr>
      </w:pPr>
      <w:r w:rsidRPr="00855601">
        <w:rPr>
          <w:b/>
          <w:bCs/>
          <w:lang w:val="en-GB"/>
        </w:rPr>
        <w:t xml:space="preserve">ACVZ (2021), ‘From asylum seeker to healthcare provider’. </w:t>
      </w:r>
    </w:p>
    <w:p w14:paraId="6103FA19" w14:textId="77777777" w:rsidR="00D81513" w:rsidRPr="00855601" w:rsidRDefault="00D81513" w:rsidP="00D81513">
      <w:pPr>
        <w:ind w:left="360"/>
        <w:jc w:val="both"/>
        <w:rPr>
          <w:lang w:val="en-GB"/>
        </w:rPr>
      </w:pPr>
      <w:r w:rsidRPr="0049336F">
        <w:rPr>
          <w:lang w:val="en"/>
        </w:rPr>
        <w:t xml:space="preserve">The Advisory Committee on Migration Affairs (ACVZ) concludes that the government and healthcare organizations should give asylum migrants a better chance to provide the extra hands that are needed in the healthcare sector. </w:t>
      </w:r>
    </w:p>
    <w:p w14:paraId="709E7F00" w14:textId="77777777" w:rsidR="00D81513" w:rsidRDefault="00D81513" w:rsidP="00D81513">
      <w:pPr>
        <w:ind w:left="360"/>
        <w:jc w:val="both"/>
      </w:pPr>
    </w:p>
    <w:p w14:paraId="0B7B0EC0" w14:textId="77777777" w:rsidR="00D81513" w:rsidRDefault="00381188" w:rsidP="00D81513">
      <w:pPr>
        <w:numPr>
          <w:ilvl w:val="0"/>
          <w:numId w:val="14"/>
        </w:numPr>
        <w:jc w:val="both"/>
      </w:pPr>
      <w:hyperlink r:id="rId20" w:history="1">
        <w:r w:rsidR="00D81513" w:rsidRPr="002446B5">
          <w:rPr>
            <w:rStyle w:val="Hyperlink"/>
            <w:lang w:val="en"/>
          </w:rPr>
          <w:t>From asylum seeker to healthcare provider</w:t>
        </w:r>
      </w:hyperlink>
    </w:p>
    <w:p w14:paraId="59105ACA" w14:textId="08CCB9A2" w:rsidR="00D81513" w:rsidRDefault="00D81513" w:rsidP="007D18F2">
      <w:pPr>
        <w:tabs>
          <w:tab w:val="left" w:pos="644"/>
        </w:tabs>
        <w:spacing w:after="3" w:line="302" w:lineRule="auto"/>
        <w:ind w:right="380"/>
        <w:jc w:val="both"/>
        <w:rPr>
          <w:b/>
          <w:sz w:val="21"/>
        </w:rPr>
      </w:pPr>
    </w:p>
    <w:p w14:paraId="30FA29C9" w14:textId="77777777" w:rsidR="00D81513" w:rsidRDefault="00D81513" w:rsidP="007D18F2">
      <w:pPr>
        <w:tabs>
          <w:tab w:val="left" w:pos="644"/>
        </w:tabs>
        <w:spacing w:after="3" w:line="302" w:lineRule="auto"/>
        <w:ind w:right="380"/>
        <w:jc w:val="both"/>
        <w:rPr>
          <w:b/>
          <w:sz w:val="21"/>
        </w:rPr>
      </w:pPr>
    </w:p>
    <w:p w14:paraId="19B88FCC" w14:textId="77777777" w:rsidR="007D18F2" w:rsidRDefault="007D18F2" w:rsidP="007D18F2">
      <w:pPr>
        <w:tabs>
          <w:tab w:val="left" w:pos="644"/>
        </w:tabs>
        <w:spacing w:after="3" w:line="302" w:lineRule="auto"/>
        <w:ind w:right="380"/>
        <w:jc w:val="both"/>
        <w:rPr>
          <w:b/>
          <w:sz w:val="21"/>
        </w:rPr>
      </w:pPr>
    </w:p>
    <w:p w14:paraId="587156EE"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Return of former applicants for international protection</w:t>
      </w:r>
    </w:p>
    <w:p w14:paraId="0F20CFCA" w14:textId="21C09EA8" w:rsidR="007D18F2" w:rsidRDefault="007D18F2" w:rsidP="007D18F2"/>
    <w:p w14:paraId="1FD96114" w14:textId="304F4177" w:rsidR="00934E22" w:rsidRPr="00855601" w:rsidRDefault="00934E22" w:rsidP="0049336F">
      <w:pPr>
        <w:tabs>
          <w:tab w:val="num" w:pos="720"/>
        </w:tabs>
        <w:ind w:left="360"/>
        <w:rPr>
          <w:lang w:val="en-GB"/>
        </w:rPr>
      </w:pPr>
      <w:r w:rsidRPr="0049336F">
        <w:rPr>
          <w:b/>
          <w:bCs/>
          <w:lang w:val="en"/>
        </w:rPr>
        <w:t>A</w:t>
      </w:r>
      <w:r w:rsidR="0049336F" w:rsidRPr="0049336F">
        <w:rPr>
          <w:b/>
          <w:bCs/>
          <w:lang w:val="en"/>
        </w:rPr>
        <w:t xml:space="preserve">CVZ </w:t>
      </w:r>
      <w:r w:rsidR="0049336F">
        <w:rPr>
          <w:b/>
          <w:bCs/>
          <w:lang w:val="en"/>
        </w:rPr>
        <w:t>(</w:t>
      </w:r>
      <w:r w:rsidR="0049336F" w:rsidRPr="0049336F">
        <w:rPr>
          <w:b/>
          <w:bCs/>
          <w:lang w:val="en"/>
        </w:rPr>
        <w:t>2021</w:t>
      </w:r>
      <w:r w:rsidR="0049336F">
        <w:rPr>
          <w:b/>
          <w:bCs/>
          <w:lang w:val="en"/>
        </w:rPr>
        <w:t>)</w:t>
      </w:r>
      <w:r w:rsidR="0049336F" w:rsidRPr="0049336F">
        <w:rPr>
          <w:b/>
          <w:bCs/>
          <w:lang w:val="en"/>
        </w:rPr>
        <w:t xml:space="preserve"> Working on return together</w:t>
      </w:r>
      <w:r w:rsidR="0049336F">
        <w:rPr>
          <w:b/>
          <w:bCs/>
          <w:lang w:val="en"/>
        </w:rPr>
        <w:t>.</w:t>
      </w:r>
      <w:r w:rsidR="0049336F">
        <w:rPr>
          <w:lang w:val="en"/>
        </w:rPr>
        <w:t xml:space="preserve"> A</w:t>
      </w:r>
      <w:r w:rsidRPr="00934E22">
        <w:rPr>
          <w:lang w:val="en"/>
        </w:rPr>
        <w:t>dvisory report on the effectiveness and diligent impl</w:t>
      </w:r>
      <w:r w:rsidR="0049336F">
        <w:rPr>
          <w:lang w:val="en"/>
        </w:rPr>
        <w:t xml:space="preserve">ementation of migrant detention: </w:t>
      </w:r>
      <w:hyperlink r:id="rId21" w:history="1">
        <w:r w:rsidRPr="002446B5">
          <w:rPr>
            <w:rStyle w:val="Hyperlink"/>
            <w:lang w:val="en"/>
          </w:rPr>
          <w:t>Working on return together</w:t>
        </w:r>
      </w:hyperlink>
    </w:p>
    <w:p w14:paraId="716DF13D" w14:textId="7E6821F9" w:rsidR="00934E22" w:rsidRDefault="00934E22" w:rsidP="00934E22">
      <w:pPr>
        <w:ind w:left="720"/>
        <w:jc w:val="both"/>
      </w:pPr>
    </w:p>
    <w:p w14:paraId="4CBC93AD" w14:textId="77777777" w:rsidR="007D18F2" w:rsidRDefault="007D18F2" w:rsidP="007D18F2">
      <w:pPr>
        <w:jc w:val="both"/>
      </w:pPr>
    </w:p>
    <w:p w14:paraId="797A38D9"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Resettlement and humanitarian admission </w:t>
      </w:r>
      <w:proofErr w:type="spellStart"/>
      <w:r w:rsidRPr="00BE6ED0">
        <w:rPr>
          <w:rFonts w:eastAsia="Arial" w:cstheme="minorHAnsi"/>
          <w:b/>
          <w:color w:val="333399"/>
          <w:sz w:val="24"/>
          <w:szCs w:val="24"/>
          <w:lang w:val="en-US"/>
        </w:rPr>
        <w:t>programmes</w:t>
      </w:r>
      <w:proofErr w:type="spellEnd"/>
      <w:r w:rsidRPr="00BE6ED0">
        <w:rPr>
          <w:rFonts w:eastAsia="Arial" w:cstheme="minorHAnsi"/>
          <w:b/>
          <w:color w:val="333399"/>
          <w:sz w:val="24"/>
          <w:szCs w:val="24"/>
          <w:lang w:val="en-US"/>
        </w:rPr>
        <w:t xml:space="preserve"> (including EU Joint Resettlement Programme, national resettlement </w:t>
      </w:r>
      <w:proofErr w:type="spellStart"/>
      <w:r w:rsidRPr="00BE6ED0">
        <w:rPr>
          <w:rFonts w:eastAsia="Arial" w:cstheme="minorHAnsi"/>
          <w:b/>
          <w:color w:val="333399"/>
          <w:sz w:val="24"/>
          <w:szCs w:val="24"/>
          <w:lang w:val="en-US"/>
        </w:rPr>
        <w:t>programme</w:t>
      </w:r>
      <w:proofErr w:type="spellEnd"/>
      <w:r w:rsidRPr="00BE6ED0">
        <w:rPr>
          <w:rFonts w:eastAsia="Arial" w:cstheme="minorHAnsi"/>
          <w:b/>
          <w:color w:val="333399"/>
          <w:sz w:val="24"/>
          <w:szCs w:val="24"/>
          <w:lang w:val="en-US"/>
        </w:rPr>
        <w:t xml:space="preserve"> (UNHCR), National Humanitarian Admission Programme, private sponsorship </w:t>
      </w:r>
      <w:proofErr w:type="spellStart"/>
      <w:r w:rsidRPr="00BE6ED0">
        <w:rPr>
          <w:rFonts w:eastAsia="Arial" w:cstheme="minorHAnsi"/>
          <w:b/>
          <w:color w:val="333399"/>
          <w:sz w:val="24"/>
          <w:szCs w:val="24"/>
          <w:lang w:val="en-US"/>
        </w:rPr>
        <w:t>programmes</w:t>
      </w:r>
      <w:proofErr w:type="spellEnd"/>
      <w:r w:rsidRPr="00BE6ED0">
        <w:rPr>
          <w:rFonts w:eastAsia="Arial" w:cstheme="minorHAnsi"/>
          <w:b/>
          <w:color w:val="333399"/>
          <w:sz w:val="24"/>
          <w:szCs w:val="24"/>
          <w:lang w:val="en-US"/>
        </w:rPr>
        <w:t xml:space="preserve">/schemes and ad hoc special </w:t>
      </w:r>
      <w:proofErr w:type="spellStart"/>
      <w:r w:rsidRPr="00BE6ED0">
        <w:rPr>
          <w:rFonts w:eastAsia="Arial" w:cstheme="minorHAnsi"/>
          <w:b/>
          <w:color w:val="333399"/>
          <w:sz w:val="24"/>
          <w:szCs w:val="24"/>
          <w:lang w:val="en-US"/>
        </w:rPr>
        <w:t>programmes</w:t>
      </w:r>
      <w:proofErr w:type="spellEnd"/>
      <w:r w:rsidRPr="00BE6ED0">
        <w:rPr>
          <w:rFonts w:eastAsia="Arial" w:cstheme="minorHAnsi"/>
          <w:b/>
          <w:color w:val="333399"/>
          <w:sz w:val="24"/>
          <w:szCs w:val="24"/>
          <w:lang w:val="en-US"/>
        </w:rPr>
        <w:t>)</w:t>
      </w:r>
    </w:p>
    <w:p w14:paraId="60E3D757" w14:textId="77777777" w:rsidR="007D18F2" w:rsidRDefault="007D18F2" w:rsidP="007D18F2">
      <w:pPr>
        <w:tabs>
          <w:tab w:val="left" w:pos="644"/>
        </w:tabs>
        <w:spacing w:line="302" w:lineRule="auto"/>
        <w:ind w:right="836"/>
        <w:jc w:val="both"/>
        <w:rPr>
          <w:b/>
          <w:sz w:val="21"/>
        </w:rPr>
      </w:pPr>
    </w:p>
    <w:p w14:paraId="7176C247" w14:textId="77777777" w:rsidR="007D18F2" w:rsidRPr="00B47840" w:rsidRDefault="007D18F2" w:rsidP="007D18F2">
      <w:pPr>
        <w:tabs>
          <w:tab w:val="left" w:pos="644"/>
        </w:tabs>
        <w:spacing w:line="302" w:lineRule="auto"/>
        <w:ind w:right="836"/>
        <w:jc w:val="both"/>
        <w:rPr>
          <w:b/>
          <w:sz w:val="21"/>
        </w:rPr>
      </w:pPr>
    </w:p>
    <w:p w14:paraId="74080CAF"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Relocation (ad hoc, emergency relocation; developments in activities </w:t>
      </w:r>
      <w:proofErr w:type="spellStart"/>
      <w:r w:rsidRPr="00BE6ED0">
        <w:rPr>
          <w:rFonts w:eastAsia="Arial" w:cstheme="minorHAnsi"/>
          <w:b/>
          <w:color w:val="333399"/>
          <w:sz w:val="24"/>
          <w:szCs w:val="24"/>
          <w:lang w:val="en-US"/>
        </w:rPr>
        <w:t>organised</w:t>
      </w:r>
      <w:proofErr w:type="spellEnd"/>
      <w:r w:rsidRPr="00BE6ED0">
        <w:rPr>
          <w:rFonts w:eastAsia="Arial" w:cstheme="minorHAnsi"/>
          <w:b/>
          <w:color w:val="333399"/>
          <w:sz w:val="24"/>
          <w:szCs w:val="24"/>
          <w:lang w:val="en-US"/>
        </w:rPr>
        <w:t xml:space="preserve"> under national schemes or on a bilateral basis)</w:t>
      </w:r>
    </w:p>
    <w:p w14:paraId="73DB8F2E" w14:textId="77777777" w:rsidR="007D18F2" w:rsidRDefault="007D18F2" w:rsidP="007D18F2">
      <w:pPr>
        <w:jc w:val="both"/>
      </w:pPr>
    </w:p>
    <w:p w14:paraId="4910D06C" w14:textId="77777777" w:rsidR="007D18F2" w:rsidRDefault="007D18F2" w:rsidP="007D18F2">
      <w:pPr>
        <w:jc w:val="both"/>
      </w:pPr>
    </w:p>
    <w:p w14:paraId="5CABEA0A"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National jurisprudence on international protection in 2021 (please include a link to the relevant case law and/or submit cases to the </w:t>
      </w:r>
      <w:hyperlink r:id="rId22">
        <w:r w:rsidRPr="00BE6ED0">
          <w:rPr>
            <w:rFonts w:eastAsia="Arial" w:cstheme="minorHAnsi"/>
            <w:b/>
            <w:color w:val="333399"/>
            <w:sz w:val="24"/>
            <w:szCs w:val="24"/>
            <w:lang w:val="en-US"/>
          </w:rPr>
          <w:t>EUAA Case Law Database</w:t>
        </w:r>
      </w:hyperlink>
      <w:r w:rsidRPr="00BE6ED0">
        <w:rPr>
          <w:rFonts w:eastAsia="Arial" w:cstheme="minorHAnsi"/>
          <w:b/>
          <w:color w:val="333399"/>
          <w:sz w:val="24"/>
          <w:szCs w:val="24"/>
          <w:lang w:val="en-US"/>
        </w:rPr>
        <w:t>)</w:t>
      </w:r>
    </w:p>
    <w:p w14:paraId="4A3E655D" w14:textId="77777777" w:rsidR="007D18F2" w:rsidRPr="00507F30" w:rsidRDefault="007D18F2" w:rsidP="007D18F2">
      <w:pPr>
        <w:jc w:val="both"/>
      </w:pPr>
    </w:p>
    <w:p w14:paraId="4299B831" w14:textId="77777777" w:rsidR="007D18F2" w:rsidRDefault="007D18F2" w:rsidP="007D18F2">
      <w:pPr>
        <w:jc w:val="both"/>
      </w:pPr>
    </w:p>
    <w:p w14:paraId="1E3BFFAD" w14:textId="77777777" w:rsidR="007D18F2" w:rsidRPr="00BE6ED0" w:rsidRDefault="007D18F2" w:rsidP="007D18F2">
      <w:pPr>
        <w:pStyle w:val="ListParagraph"/>
        <w:widowControl w:val="0"/>
        <w:numPr>
          <w:ilvl w:val="0"/>
          <w:numId w:val="13"/>
        </w:numPr>
        <w:tabs>
          <w:tab w:val="left" w:pos="469"/>
        </w:tabs>
        <w:autoSpaceDE w:val="0"/>
        <w:autoSpaceDN w:val="0"/>
        <w:spacing w:after="0" w:line="240" w:lineRule="auto"/>
        <w:contextualSpacing w:val="0"/>
        <w:jc w:val="both"/>
        <w:rPr>
          <w:rFonts w:asciiTheme="minorHAnsi" w:eastAsia="Arial" w:hAnsiTheme="minorHAnsi" w:cstheme="minorHAnsi"/>
          <w:b/>
          <w:color w:val="333399"/>
          <w:sz w:val="24"/>
          <w:szCs w:val="24"/>
          <w:lang w:val="en-US"/>
        </w:rPr>
      </w:pPr>
      <w:r w:rsidRPr="00BE6ED0">
        <w:rPr>
          <w:rFonts w:asciiTheme="minorHAnsi" w:eastAsia="Arial" w:hAnsiTheme="minorHAnsi" w:cstheme="minorHAnsi"/>
          <w:b/>
          <w:color w:val="333399"/>
          <w:sz w:val="24"/>
          <w:szCs w:val="24"/>
          <w:lang w:val="en-US"/>
        </w:rPr>
        <w:lastRenderedPageBreak/>
        <w:t>Other important developments in 2021</w:t>
      </w:r>
    </w:p>
    <w:p w14:paraId="7ECC5B72" w14:textId="77777777" w:rsidR="007D18F2" w:rsidRDefault="007D18F2" w:rsidP="007D18F2">
      <w:pPr>
        <w:tabs>
          <w:tab w:val="left" w:pos="469"/>
        </w:tabs>
        <w:rPr>
          <w:b/>
          <w:color w:val="333399"/>
          <w:sz w:val="21"/>
        </w:rPr>
      </w:pPr>
    </w:p>
    <w:p w14:paraId="0D4AE3FD" w14:textId="77777777" w:rsidR="0058445A" w:rsidRDefault="00A11713" w:rsidP="00A11713">
      <w:pPr>
        <w:ind w:left="360"/>
        <w:jc w:val="both"/>
        <w:rPr>
          <w:b/>
          <w:bCs/>
        </w:rPr>
      </w:pPr>
      <w:r w:rsidRPr="00D91CDE">
        <w:rPr>
          <w:b/>
          <w:bCs/>
        </w:rPr>
        <w:t xml:space="preserve">ACVZ (2021), ‘Towards a well-being approach in </w:t>
      </w:r>
      <w:proofErr w:type="spellStart"/>
      <w:r w:rsidRPr="00D91CDE">
        <w:rPr>
          <w:b/>
          <w:bCs/>
        </w:rPr>
        <w:t>labour</w:t>
      </w:r>
      <w:proofErr w:type="spellEnd"/>
      <w:r w:rsidRPr="00D91CDE">
        <w:rPr>
          <w:b/>
          <w:bCs/>
        </w:rPr>
        <w:t xml:space="preserve"> migration policy’. </w:t>
      </w:r>
    </w:p>
    <w:p w14:paraId="365E69F4" w14:textId="0FF90815" w:rsidR="0058445A" w:rsidRPr="00855601" w:rsidRDefault="0058445A" w:rsidP="005967A3">
      <w:pPr>
        <w:ind w:left="360"/>
        <w:jc w:val="both"/>
        <w:rPr>
          <w:lang w:val="en-GB"/>
        </w:rPr>
      </w:pPr>
      <w:r w:rsidRPr="0058445A">
        <w:rPr>
          <w:lang w:val="en"/>
        </w:rPr>
        <w:t xml:space="preserve">In this exploratory study the ACVZ concludes that the aim of </w:t>
      </w:r>
      <w:proofErr w:type="spellStart"/>
      <w:r w:rsidRPr="0058445A">
        <w:rPr>
          <w:lang w:val="en"/>
        </w:rPr>
        <w:t>labour</w:t>
      </w:r>
      <w:proofErr w:type="spellEnd"/>
      <w:r w:rsidRPr="0058445A">
        <w:rPr>
          <w:lang w:val="en"/>
        </w:rPr>
        <w:t xml:space="preserve"> migration policy should be to contribute to th</w:t>
      </w:r>
      <w:r w:rsidR="005967A3">
        <w:rPr>
          <w:lang w:val="en"/>
        </w:rPr>
        <w:t xml:space="preserve">e well-being of the population </w:t>
      </w:r>
      <w:proofErr w:type="gramStart"/>
      <w:r w:rsidR="005967A3">
        <w:rPr>
          <w:lang w:val="en"/>
        </w:rPr>
        <w:t>e.g.</w:t>
      </w:r>
      <w:proofErr w:type="gramEnd"/>
      <w:r w:rsidR="005967A3">
        <w:rPr>
          <w:lang w:val="en"/>
        </w:rPr>
        <w:t xml:space="preserve"> </w:t>
      </w:r>
      <w:r w:rsidRPr="0058445A">
        <w:rPr>
          <w:lang w:val="en"/>
        </w:rPr>
        <w:t>aspects such as the vitality of the sector in question, environmental considerations, the availability of housing and schooling facilities etc.</w:t>
      </w:r>
    </w:p>
    <w:p w14:paraId="52C696DA" w14:textId="0D192493" w:rsidR="00A11713" w:rsidRDefault="00A11713" w:rsidP="00A11713">
      <w:pPr>
        <w:ind w:left="360"/>
        <w:jc w:val="both"/>
      </w:pPr>
      <w:r w:rsidRPr="00D91CDE">
        <w:t xml:space="preserve">The ACVZ recommends the Dutch government to install a ‘committee on future </w:t>
      </w:r>
      <w:proofErr w:type="spellStart"/>
      <w:r w:rsidRPr="00D91CDE">
        <w:t>labour</w:t>
      </w:r>
      <w:proofErr w:type="spellEnd"/>
      <w:r w:rsidRPr="00D91CDE">
        <w:t xml:space="preserve"> migratio</w:t>
      </w:r>
      <w:r>
        <w:t>n and well-being’ that can advis</w:t>
      </w:r>
      <w:r w:rsidRPr="00D91CDE">
        <w:t xml:space="preserve">e the government on this topic. This committee should include various groups in society -such as experts, employers, employees, local </w:t>
      </w:r>
      <w:proofErr w:type="gramStart"/>
      <w:r w:rsidRPr="00D91CDE">
        <w:t>administrators</w:t>
      </w:r>
      <w:proofErr w:type="gramEnd"/>
      <w:r w:rsidRPr="00D91CDE">
        <w:t xml:space="preserve"> and citizens- in the advisory process</w:t>
      </w:r>
    </w:p>
    <w:p w14:paraId="27960476" w14:textId="77777777" w:rsidR="00A11713" w:rsidRPr="00934E22" w:rsidRDefault="00A11713" w:rsidP="00A11713">
      <w:pPr>
        <w:ind w:left="360"/>
        <w:jc w:val="both"/>
      </w:pPr>
    </w:p>
    <w:p w14:paraId="4135DF7C" w14:textId="4BA25C07" w:rsidR="00A11713" w:rsidRDefault="00381188" w:rsidP="00A11713">
      <w:pPr>
        <w:numPr>
          <w:ilvl w:val="0"/>
          <w:numId w:val="14"/>
        </w:numPr>
        <w:jc w:val="both"/>
      </w:pPr>
      <w:hyperlink r:id="rId23" w:history="1">
        <w:r w:rsidR="00A11713" w:rsidRPr="002446B5">
          <w:rPr>
            <w:rStyle w:val="Hyperlink"/>
            <w:lang w:val="en"/>
          </w:rPr>
          <w:t xml:space="preserve">Towards a well-being approach in </w:t>
        </w:r>
        <w:proofErr w:type="spellStart"/>
        <w:r w:rsidR="00A11713" w:rsidRPr="002446B5">
          <w:rPr>
            <w:rStyle w:val="Hyperlink"/>
            <w:lang w:val="en"/>
          </w:rPr>
          <w:t>labour</w:t>
        </w:r>
        <w:proofErr w:type="spellEnd"/>
        <w:r w:rsidR="00A11713" w:rsidRPr="002446B5">
          <w:rPr>
            <w:rStyle w:val="Hyperlink"/>
            <w:lang w:val="en"/>
          </w:rPr>
          <w:t xml:space="preserve"> migration policy</w:t>
        </w:r>
      </w:hyperlink>
    </w:p>
    <w:p w14:paraId="4A923B06" w14:textId="77777777" w:rsidR="005967A3" w:rsidRDefault="005967A3" w:rsidP="005967A3">
      <w:pPr>
        <w:tabs>
          <w:tab w:val="left" w:pos="469"/>
        </w:tabs>
      </w:pPr>
    </w:p>
    <w:p w14:paraId="57E3B66D" w14:textId="00B0B422" w:rsidR="008C0D69" w:rsidRDefault="005967A3" w:rsidP="00035B9B">
      <w:pPr>
        <w:tabs>
          <w:tab w:val="left" w:pos="469"/>
        </w:tabs>
        <w:ind w:left="360"/>
      </w:pPr>
      <w:r>
        <w:tab/>
      </w:r>
      <w:r w:rsidR="00B95ED8" w:rsidRPr="00B95ED8">
        <w:t xml:space="preserve"> </w:t>
      </w:r>
    </w:p>
    <w:p w14:paraId="00DD2F2F" w14:textId="355AEACB" w:rsidR="007D18F2" w:rsidRDefault="005967A3" w:rsidP="00D81513">
      <w:pPr>
        <w:tabs>
          <w:tab w:val="left" w:pos="469"/>
        </w:tabs>
        <w:ind w:left="360"/>
      </w:pPr>
      <w:r>
        <w:t>‘</w:t>
      </w:r>
      <w:r w:rsidRPr="005967A3">
        <w:rPr>
          <w:b/>
          <w:bCs/>
        </w:rPr>
        <w:t>Did you know ...? Facts and fictions about migration’</w:t>
      </w:r>
      <w:r>
        <w:t>. This year, the ACVZ has</w:t>
      </w:r>
      <w:r>
        <w:tab/>
        <w:t>published a blog series under this heading about facts and fictions about migration (8 blogs in Dutch).</w:t>
      </w:r>
      <w:r w:rsidR="00D81513">
        <w:t xml:space="preserve"> </w:t>
      </w:r>
    </w:p>
    <w:p w14:paraId="787A9C11" w14:textId="7134260A" w:rsidR="005967A3" w:rsidRDefault="00381188" w:rsidP="005967A3">
      <w:pPr>
        <w:tabs>
          <w:tab w:val="left" w:pos="469"/>
        </w:tabs>
        <w:ind w:left="360"/>
      </w:pPr>
      <w:hyperlink r:id="rId24" w:history="1">
        <w:r w:rsidR="005967A3" w:rsidRPr="008A046C">
          <w:rPr>
            <w:rStyle w:val="Hyperlink"/>
          </w:rPr>
          <w:t>https://www.adviescommissievoorvreemdelingenzaken.nl/actueel/nieuws/2021/02/05/wist-u-dat..-blog-1</w:t>
        </w:r>
      </w:hyperlink>
    </w:p>
    <w:p w14:paraId="78A43255" w14:textId="2C3E8798" w:rsidR="005967A3" w:rsidRDefault="00381188" w:rsidP="005967A3">
      <w:pPr>
        <w:tabs>
          <w:tab w:val="left" w:pos="469"/>
        </w:tabs>
        <w:ind w:left="360"/>
      </w:pPr>
      <w:hyperlink r:id="rId25" w:history="1">
        <w:r w:rsidR="005967A3" w:rsidRPr="008A046C">
          <w:rPr>
            <w:rStyle w:val="Hyperlink"/>
          </w:rPr>
          <w:t>https://www.adviescommissievoorvreemdelingenzaken.nl/actueel/nieuws/2021/02/10/wist-u-dat-...-blog-2-opzeggen-vluchtelingenverdrag-schaadt-ook-nederlands-belang</w:t>
        </w:r>
      </w:hyperlink>
    </w:p>
    <w:p w14:paraId="17169ACD" w14:textId="01F439BB" w:rsidR="005967A3" w:rsidRDefault="00381188" w:rsidP="005967A3">
      <w:pPr>
        <w:tabs>
          <w:tab w:val="left" w:pos="469"/>
        </w:tabs>
        <w:ind w:left="360"/>
      </w:pPr>
      <w:hyperlink r:id="rId26" w:history="1">
        <w:r w:rsidR="005967A3" w:rsidRPr="008A046C">
          <w:rPr>
            <w:rStyle w:val="Hyperlink"/>
          </w:rPr>
          <w:t>https://www.adviescommissievoorvreemdelingenzaken.nl/actueel/nieuws/2021/02/16/wist-u-dat-...-blog-3</w:t>
        </w:r>
      </w:hyperlink>
    </w:p>
    <w:p w14:paraId="495EF176" w14:textId="7AEE65C1" w:rsidR="005967A3" w:rsidRDefault="00381188" w:rsidP="005967A3">
      <w:pPr>
        <w:tabs>
          <w:tab w:val="left" w:pos="469"/>
        </w:tabs>
        <w:ind w:left="360"/>
      </w:pPr>
      <w:hyperlink r:id="rId27" w:history="1">
        <w:r w:rsidR="005967A3" w:rsidRPr="008A046C">
          <w:rPr>
            <w:rStyle w:val="Hyperlink"/>
          </w:rPr>
          <w:t>https://www.adviescommissievoorvreemdelingenzaken.nl/actueel/nieuws/2021/02/22/wist-u-dat-...-blog-4</w:t>
        </w:r>
      </w:hyperlink>
    </w:p>
    <w:p w14:paraId="26C28677" w14:textId="191A7AA1" w:rsidR="005967A3" w:rsidRDefault="00381188" w:rsidP="005967A3">
      <w:pPr>
        <w:tabs>
          <w:tab w:val="left" w:pos="469"/>
        </w:tabs>
        <w:ind w:left="360"/>
      </w:pPr>
      <w:hyperlink r:id="rId28" w:history="1">
        <w:r w:rsidR="005967A3" w:rsidRPr="008A046C">
          <w:rPr>
            <w:rStyle w:val="Hyperlink"/>
          </w:rPr>
          <w:t>https://www.adviescommissievoorvreemdelingenzaken.nl/actueel/nieuws/2021/03/01/wist-u-dat-...-blog-5</w:t>
        </w:r>
      </w:hyperlink>
    </w:p>
    <w:p w14:paraId="27DF39BF" w14:textId="34B04B56" w:rsidR="005967A3" w:rsidRDefault="00381188" w:rsidP="005967A3">
      <w:pPr>
        <w:tabs>
          <w:tab w:val="left" w:pos="469"/>
        </w:tabs>
        <w:ind w:left="360"/>
      </w:pPr>
      <w:hyperlink r:id="rId29" w:history="1">
        <w:r w:rsidR="005967A3" w:rsidRPr="008A046C">
          <w:rPr>
            <w:rStyle w:val="Hyperlink"/>
          </w:rPr>
          <w:t>https://www.adviescommissievoorvreemdelingenzaken.nl/actueel/nieuws/2021/03/05/wist-u-dat-...-blog-6</w:t>
        </w:r>
      </w:hyperlink>
    </w:p>
    <w:p w14:paraId="6A47042C" w14:textId="25638640" w:rsidR="005967A3" w:rsidRDefault="00381188" w:rsidP="005967A3">
      <w:pPr>
        <w:tabs>
          <w:tab w:val="left" w:pos="469"/>
        </w:tabs>
        <w:ind w:left="360"/>
      </w:pPr>
      <w:hyperlink r:id="rId30" w:history="1">
        <w:r w:rsidR="005967A3" w:rsidRPr="008A046C">
          <w:rPr>
            <w:rStyle w:val="Hyperlink"/>
          </w:rPr>
          <w:t>https://www.adviescommissievoorvreemdelingenzaken.nl/actueel/nieuws/2021/03/10/wist-u-dat-...-blog-7</w:t>
        </w:r>
      </w:hyperlink>
    </w:p>
    <w:p w14:paraId="76220B3B" w14:textId="651031F7" w:rsidR="005967A3" w:rsidRDefault="00381188" w:rsidP="005967A3">
      <w:pPr>
        <w:tabs>
          <w:tab w:val="left" w:pos="469"/>
        </w:tabs>
        <w:ind w:left="360"/>
      </w:pPr>
      <w:hyperlink r:id="rId31" w:history="1">
        <w:r w:rsidR="005967A3" w:rsidRPr="008A046C">
          <w:rPr>
            <w:rStyle w:val="Hyperlink"/>
          </w:rPr>
          <w:t>https://www.adviescommissievoorvreemdelingenzaken.nl/actueel/nieuws/2021/03/16/wist-u-dat-...-blog-8</w:t>
        </w:r>
      </w:hyperlink>
    </w:p>
    <w:p w14:paraId="7CD89441" w14:textId="118AE4D5" w:rsidR="007D18F2" w:rsidRDefault="007D18F2" w:rsidP="007D18F2">
      <w:pPr>
        <w:tabs>
          <w:tab w:val="left" w:pos="469"/>
        </w:tabs>
        <w:rPr>
          <w:b/>
          <w:color w:val="333399"/>
          <w:sz w:val="21"/>
        </w:rPr>
      </w:pPr>
    </w:p>
    <w:p w14:paraId="1B76D0FC" w14:textId="566D47E7" w:rsidR="004E2849" w:rsidRPr="00855601" w:rsidRDefault="0018319D" w:rsidP="0018319D">
      <w:pPr>
        <w:tabs>
          <w:tab w:val="left" w:pos="469"/>
        </w:tabs>
        <w:rPr>
          <w:b/>
          <w:bCs/>
          <w:lang w:val="en-GB"/>
        </w:rPr>
      </w:pPr>
      <w:r>
        <w:rPr>
          <w:b/>
          <w:color w:val="333399"/>
          <w:sz w:val="21"/>
        </w:rPr>
        <w:t xml:space="preserve">        </w:t>
      </w:r>
      <w:r w:rsidR="004E2849" w:rsidRPr="00855601">
        <w:rPr>
          <w:b/>
          <w:bCs/>
          <w:lang w:val="en-GB"/>
        </w:rPr>
        <w:t>Project plan Quantitative Targets in the Migration Domain (tba 2022)</w:t>
      </w:r>
    </w:p>
    <w:p w14:paraId="361FA0F5" w14:textId="77777777" w:rsidR="0018319D" w:rsidRPr="00855601" w:rsidRDefault="00D81513" w:rsidP="004E2849">
      <w:pPr>
        <w:tabs>
          <w:tab w:val="left" w:pos="469"/>
        </w:tabs>
        <w:ind w:left="360"/>
        <w:rPr>
          <w:lang w:val="en-GB"/>
        </w:rPr>
      </w:pPr>
      <w:r w:rsidRPr="00855601">
        <w:rPr>
          <w:lang w:val="en-GB"/>
        </w:rPr>
        <w:t xml:space="preserve">In September 2021 the Dutch Minister for Migration </w:t>
      </w:r>
      <w:r w:rsidRPr="00D81513">
        <w:t xml:space="preserve">has asked the Advisory Committee on Migration Affairs (ACVZ) </w:t>
      </w:r>
      <w:r w:rsidR="004E2849" w:rsidRPr="00855601">
        <w:rPr>
          <w:lang w:val="en-GB"/>
        </w:rPr>
        <w:t>to advise him on the use of quantitative targets in the migration domain. The focus of the ACVZ study is to what extent and how can target levels</w:t>
      </w:r>
      <w:r w:rsidR="0018319D" w:rsidRPr="00855601">
        <w:rPr>
          <w:lang w:val="en-GB"/>
        </w:rPr>
        <w:t xml:space="preserve">, </w:t>
      </w:r>
      <w:proofErr w:type="gramStart"/>
      <w:r w:rsidR="0018319D" w:rsidRPr="00855601">
        <w:rPr>
          <w:lang w:val="en-GB"/>
        </w:rPr>
        <w:t>e.g.</w:t>
      </w:r>
      <w:proofErr w:type="gramEnd"/>
      <w:r w:rsidR="0018319D" w:rsidRPr="00855601">
        <w:rPr>
          <w:lang w:val="en-GB"/>
        </w:rPr>
        <w:t xml:space="preserve"> quota,</w:t>
      </w:r>
      <w:r w:rsidR="004E2849" w:rsidRPr="00855601">
        <w:rPr>
          <w:lang w:val="en-GB"/>
        </w:rPr>
        <w:t xml:space="preserve"> contribute to the management of asylum and migration to the Netherlands</w:t>
      </w:r>
      <w:r w:rsidRPr="00855601">
        <w:rPr>
          <w:lang w:val="en-GB"/>
        </w:rPr>
        <w:t>. The report is expected around summer 2022.</w:t>
      </w:r>
      <w:r w:rsidR="004E2849" w:rsidRPr="00855601">
        <w:rPr>
          <w:lang w:val="en-GB"/>
        </w:rPr>
        <w:t xml:space="preserve"> </w:t>
      </w:r>
    </w:p>
    <w:p w14:paraId="7DC33568" w14:textId="238B67F3" w:rsidR="00D81513" w:rsidRPr="00855601" w:rsidRDefault="004E2849" w:rsidP="004E2849">
      <w:pPr>
        <w:tabs>
          <w:tab w:val="left" w:pos="469"/>
        </w:tabs>
        <w:ind w:left="360"/>
        <w:rPr>
          <w:lang w:val="en-GB"/>
        </w:rPr>
      </w:pPr>
      <w:r w:rsidRPr="00855601">
        <w:rPr>
          <w:lang w:val="en-GB"/>
        </w:rPr>
        <w:t>See project plan (Dutch).</w:t>
      </w:r>
    </w:p>
    <w:p w14:paraId="2A9010FD" w14:textId="1CC8597F" w:rsidR="004E2849" w:rsidRPr="00855601" w:rsidRDefault="00381188" w:rsidP="004E2849">
      <w:pPr>
        <w:tabs>
          <w:tab w:val="left" w:pos="469"/>
        </w:tabs>
        <w:ind w:left="360"/>
        <w:rPr>
          <w:bCs/>
          <w:color w:val="333399"/>
          <w:sz w:val="21"/>
          <w:lang w:val="nl-NL"/>
        </w:rPr>
      </w:pPr>
      <w:hyperlink r:id="rId32" w:history="1">
        <w:r w:rsidR="004E2849" w:rsidRPr="00855601">
          <w:rPr>
            <w:rStyle w:val="Hyperlink"/>
            <w:bCs/>
            <w:sz w:val="21"/>
            <w:lang w:val="nl-NL"/>
          </w:rPr>
          <w:t>Gevraagd advies over beleidsmatige richtgetallen | Publicatie | Adviescommissie voor Vreemdelingenzaken</w:t>
        </w:r>
      </w:hyperlink>
    </w:p>
    <w:p w14:paraId="185DA736" w14:textId="77777777" w:rsidR="00D81513" w:rsidRPr="00855601" w:rsidRDefault="00D81513" w:rsidP="007D18F2">
      <w:pPr>
        <w:tabs>
          <w:tab w:val="left" w:pos="469"/>
        </w:tabs>
        <w:rPr>
          <w:b/>
          <w:color w:val="333399"/>
          <w:sz w:val="21"/>
          <w:lang w:val="nl-NL"/>
        </w:rPr>
      </w:pPr>
    </w:p>
    <w:p w14:paraId="1BBC8664" w14:textId="77777777" w:rsidR="007D18F2" w:rsidRPr="00586F0D" w:rsidRDefault="007D18F2" w:rsidP="007D18F2">
      <w:pPr>
        <w:widowControl w:val="0"/>
        <w:autoSpaceDE w:val="0"/>
        <w:autoSpaceDN w:val="0"/>
        <w:spacing w:before="1"/>
        <w:ind w:left="235"/>
        <w:outlineLvl w:val="0"/>
        <w:rPr>
          <w:rFonts w:ascii="Arial Unicode MS" w:eastAsia="Arial Unicode MS" w:hAnsi="Arial Unicode MS" w:cs="Arial Unicode MS"/>
          <w:sz w:val="30"/>
          <w:szCs w:val="30"/>
        </w:rPr>
      </w:pPr>
      <w:r w:rsidRPr="00586F0D">
        <w:rPr>
          <w:rFonts w:ascii="Arial Unicode MS" w:eastAsia="Arial Unicode MS" w:hAnsi="Arial Unicode MS" w:cs="Arial Unicode MS"/>
          <w:noProof/>
          <w:sz w:val="30"/>
          <w:szCs w:val="30"/>
          <w:lang w:val="nl-NL" w:eastAsia="nl-NL"/>
        </w:rPr>
        <mc:AlternateContent>
          <mc:Choice Requires="wps">
            <w:drawing>
              <wp:anchor distT="0" distB="0" distL="114300" distR="114300" simplePos="0" relativeHeight="251661312" behindDoc="0" locked="0" layoutInCell="1" allowOverlap="1" wp14:anchorId="7514FF70" wp14:editId="41986E96">
                <wp:simplePos x="0" y="0"/>
                <wp:positionH relativeFrom="page">
                  <wp:posOffset>695325</wp:posOffset>
                </wp:positionH>
                <wp:positionV relativeFrom="paragraph">
                  <wp:posOffset>328295</wp:posOffset>
                </wp:positionV>
                <wp:extent cx="63817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970D3"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5pt" to="557.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" strokecolor="#004e98" strokeweight="1.5pt">
                <w10:wrap anchorx="page"/>
              </v:line>
            </w:pict>
          </mc:Fallback>
        </mc:AlternateContent>
      </w:r>
      <w:r w:rsidRPr="00586F0D">
        <w:rPr>
          <w:rFonts w:ascii="Arial Unicode MS" w:eastAsia="Arial Unicode MS" w:hAnsi="Arial Unicode MS" w:cs="Arial Unicode MS"/>
          <w:color w:val="004E98"/>
          <w:sz w:val="30"/>
          <w:szCs w:val="30"/>
        </w:rPr>
        <w:t>References and sources</w:t>
      </w:r>
    </w:p>
    <w:p w14:paraId="2A7C58B6" w14:textId="77777777" w:rsidR="007D18F2" w:rsidRPr="00586F0D" w:rsidRDefault="007D18F2" w:rsidP="007D18F2">
      <w:pPr>
        <w:tabs>
          <w:tab w:val="left" w:pos="469"/>
        </w:tabs>
        <w:jc w:val="both"/>
        <w:rPr>
          <w:b/>
          <w:color w:val="333399"/>
          <w:sz w:val="21"/>
        </w:rPr>
      </w:pPr>
    </w:p>
    <w:p w14:paraId="7F64024C" w14:textId="77777777" w:rsidR="007D18F2" w:rsidRPr="00BE6ED0" w:rsidRDefault="007D18F2" w:rsidP="007D18F2">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Please provide links to references and sources and/or upload the related material in PDF format</w:t>
      </w:r>
    </w:p>
    <w:p w14:paraId="3AB9290D" w14:textId="1B1A8CA8" w:rsidR="007D18F2" w:rsidRDefault="007D18F2" w:rsidP="00AC676B">
      <w:pPr>
        <w:ind w:left="360"/>
        <w:jc w:val="both"/>
      </w:pPr>
    </w:p>
    <w:p w14:paraId="37C04579" w14:textId="2BEFD9FE" w:rsidR="00AC676B" w:rsidRDefault="00AC676B" w:rsidP="008546B1">
      <w:pPr>
        <w:ind w:left="360"/>
        <w:jc w:val="both"/>
      </w:pPr>
      <w:r w:rsidRPr="00AC676B">
        <w:rPr>
          <w:b/>
          <w:bCs/>
        </w:rPr>
        <w:t>ACVZ (2021), EU-borders are also our borders.</w:t>
      </w:r>
      <w:r>
        <w:t xml:space="preserve"> </w:t>
      </w:r>
      <w:r w:rsidR="008546B1">
        <w:t>Policy brief (</w:t>
      </w:r>
      <w:r>
        <w:t>English</w:t>
      </w:r>
      <w:r w:rsidR="008546B1">
        <w:t>)</w:t>
      </w:r>
    </w:p>
    <w:p w14:paraId="2975D8E1" w14:textId="57D915CE" w:rsidR="008546B1" w:rsidRDefault="00381188" w:rsidP="00F40F7E">
      <w:pPr>
        <w:ind w:left="360"/>
        <w:jc w:val="both"/>
      </w:pPr>
      <w:hyperlink r:id="rId33" w:history="1">
        <w:r w:rsidR="008546B1" w:rsidRPr="00AA0DC1">
          <w:rPr>
            <w:rStyle w:val="Hyperlink"/>
          </w:rPr>
          <w:t>https://www.adviescommissievoorvreemdelingenzaken.nl/binaries/adviescommissievoorvreemdelingenzaken/documenten/publicaties/2022/02/14/eu-borders-are-common-borders/20220214_Policybrief_EU+Borders+are+common+borders+%28English+translation%29.pdf</w:t>
        </w:r>
      </w:hyperlink>
    </w:p>
    <w:p w14:paraId="66360A65" w14:textId="394BAF14" w:rsidR="00AC676B" w:rsidRDefault="00AC676B" w:rsidP="00F40F7E">
      <w:pPr>
        <w:ind w:left="360"/>
        <w:jc w:val="both"/>
      </w:pPr>
    </w:p>
    <w:p w14:paraId="6492B6A9" w14:textId="77777777" w:rsidR="00AC676B" w:rsidRDefault="00AC676B" w:rsidP="00AC676B">
      <w:pPr>
        <w:ind w:left="360"/>
        <w:jc w:val="both"/>
      </w:pPr>
    </w:p>
    <w:p w14:paraId="4FA0956C" w14:textId="4F331682" w:rsidR="00EE27B4" w:rsidRPr="0091515B" w:rsidRDefault="009033DF" w:rsidP="00AC676B">
      <w:pPr>
        <w:ind w:firstLine="360"/>
        <w:jc w:val="both"/>
        <w:rPr>
          <w:b/>
          <w:bCs/>
        </w:rPr>
      </w:pPr>
      <w:r w:rsidRPr="0091515B">
        <w:rPr>
          <w:b/>
          <w:bCs/>
        </w:rPr>
        <w:t xml:space="preserve">ACZV (2021), </w:t>
      </w:r>
      <w:r w:rsidR="00EE27B4" w:rsidRPr="0091515B">
        <w:rPr>
          <w:b/>
          <w:bCs/>
        </w:rPr>
        <w:t>Working on return together</w:t>
      </w:r>
    </w:p>
    <w:p w14:paraId="60EE7958" w14:textId="5429A412" w:rsidR="00EE27B4" w:rsidRDefault="00381188" w:rsidP="00EE27B4">
      <w:pPr>
        <w:ind w:left="360"/>
        <w:jc w:val="both"/>
      </w:pPr>
      <w:hyperlink r:id="rId34" w:history="1">
        <w:r w:rsidR="00EE27B4" w:rsidRPr="008A046C">
          <w:rPr>
            <w:rStyle w:val="Hyperlink"/>
          </w:rPr>
          <w:t>https://www.adviescommissievoorvreemdelingenzaken.nl/binaries/adviescommissievoorvreemdelingenzaken/documenten/publicaties/2021/07/22/working-on-return-together/Working+on+return+together+%28Vertaling+advies+Samen+werken+aan+Terugkeer+%29-+DEF.pdf</w:t>
        </w:r>
      </w:hyperlink>
      <w:r w:rsidR="00EE27B4">
        <w:t xml:space="preserve"> </w:t>
      </w:r>
    </w:p>
    <w:p w14:paraId="7EC5865E" w14:textId="7FECAC3E" w:rsidR="00EE27B4" w:rsidRDefault="00EE27B4" w:rsidP="007D18F2">
      <w:pPr>
        <w:jc w:val="both"/>
      </w:pPr>
      <w:r>
        <w:tab/>
      </w:r>
    </w:p>
    <w:p w14:paraId="3598B2CC" w14:textId="0ED212C7" w:rsidR="00EE27B4" w:rsidRPr="0091515B" w:rsidRDefault="00EE27B4" w:rsidP="007D18F2">
      <w:pPr>
        <w:jc w:val="both"/>
        <w:rPr>
          <w:b/>
          <w:bCs/>
        </w:rPr>
      </w:pPr>
      <w:r>
        <w:t xml:space="preserve">      </w:t>
      </w:r>
      <w:r w:rsidR="009033DF" w:rsidRPr="0091515B">
        <w:rPr>
          <w:b/>
          <w:bCs/>
        </w:rPr>
        <w:t>ACVZ (2021),</w:t>
      </w:r>
      <w:r w:rsidRPr="0091515B">
        <w:rPr>
          <w:b/>
          <w:bCs/>
        </w:rPr>
        <w:t xml:space="preserve"> From asylum seeker to healthcare provider</w:t>
      </w:r>
    </w:p>
    <w:p w14:paraId="50A3DD95" w14:textId="1CFFE970" w:rsidR="00EE27B4" w:rsidRDefault="00381188" w:rsidP="00EE27B4">
      <w:pPr>
        <w:ind w:left="360"/>
        <w:jc w:val="both"/>
      </w:pPr>
      <w:hyperlink r:id="rId35" w:history="1">
        <w:r w:rsidR="00EE27B4" w:rsidRPr="008A046C">
          <w:rPr>
            <w:rStyle w:val="Hyperlink"/>
          </w:rPr>
          <w:t>https://www.adviescommissievoorvreemdelingenzaken.nl/binaries/adviescommissievoorvreemdelingenzaken/documenten/publicaties/2021/05/11/from-asylum-seeker-to-healthcare-provider/20210519+Summary++%28van+asielzoeker+naar+zorgverlener%29.pdf</w:t>
        </w:r>
      </w:hyperlink>
    </w:p>
    <w:p w14:paraId="20AB40DC" w14:textId="64E40339" w:rsidR="00AC676B" w:rsidRDefault="00AC676B" w:rsidP="00EE27B4">
      <w:pPr>
        <w:ind w:left="360"/>
        <w:jc w:val="both"/>
      </w:pPr>
    </w:p>
    <w:p w14:paraId="6C243730" w14:textId="77777777" w:rsidR="00AC676B" w:rsidRPr="0091515B" w:rsidRDefault="00AC676B" w:rsidP="00AC676B">
      <w:pPr>
        <w:ind w:left="360"/>
        <w:jc w:val="both"/>
        <w:rPr>
          <w:b/>
          <w:bCs/>
        </w:rPr>
      </w:pPr>
      <w:r w:rsidRPr="0091515B">
        <w:rPr>
          <w:b/>
          <w:bCs/>
        </w:rPr>
        <w:t xml:space="preserve">ACVZ (2021), Towards a well-being approach in </w:t>
      </w:r>
      <w:proofErr w:type="spellStart"/>
      <w:r w:rsidRPr="0091515B">
        <w:rPr>
          <w:b/>
          <w:bCs/>
        </w:rPr>
        <w:t>labour</w:t>
      </w:r>
      <w:proofErr w:type="spellEnd"/>
      <w:r w:rsidRPr="0091515B">
        <w:rPr>
          <w:b/>
          <w:bCs/>
        </w:rPr>
        <w:t xml:space="preserve"> migration policy</w:t>
      </w:r>
    </w:p>
    <w:p w14:paraId="44662512" w14:textId="77777777" w:rsidR="00AC676B" w:rsidRDefault="00381188" w:rsidP="00AC676B">
      <w:pPr>
        <w:ind w:left="360"/>
        <w:jc w:val="both"/>
      </w:pPr>
      <w:hyperlink r:id="rId36" w:history="1">
        <w:r w:rsidR="00AC676B" w:rsidRPr="008A046C">
          <w:rPr>
            <w:rStyle w:val="Hyperlink"/>
          </w:rPr>
          <w:t>https://www.adviescommissievoorvreemdelingenzaken.nl/binaries/adviescommissievoorvreemdelingenzaken/documenten/publicaties/2021/11/01/towards-a-well-being-approach-in-labour-migration-policy/Towards+a+well-being+approach+in+labour+migration+policy.pdf</w:t>
        </w:r>
      </w:hyperlink>
    </w:p>
    <w:p w14:paraId="7B79DA76" w14:textId="4855390D" w:rsidR="00EE27B4" w:rsidRDefault="00EE27B4" w:rsidP="007D18F2">
      <w:pPr>
        <w:jc w:val="both"/>
      </w:pPr>
    </w:p>
    <w:p w14:paraId="13FED711" w14:textId="41D4D519" w:rsidR="007D18F2" w:rsidRPr="00586F0D" w:rsidRDefault="00AC676B" w:rsidP="007D18F2">
      <w:pPr>
        <w:jc w:val="both"/>
      </w:pPr>
      <w:r>
        <w:tab/>
      </w:r>
    </w:p>
    <w:p w14:paraId="328D59E7" w14:textId="77777777" w:rsidR="007D18F2" w:rsidRPr="00BE6ED0" w:rsidRDefault="007D18F2" w:rsidP="007D18F2">
      <w:pPr>
        <w:pStyle w:val="ListParagraph"/>
        <w:widowControl w:val="0"/>
        <w:numPr>
          <w:ilvl w:val="0"/>
          <w:numId w:val="13"/>
        </w:numPr>
        <w:tabs>
          <w:tab w:val="left" w:pos="586"/>
        </w:tabs>
        <w:autoSpaceDE w:val="0"/>
        <w:autoSpaceDN w:val="0"/>
        <w:spacing w:after="0" w:line="297" w:lineRule="auto"/>
        <w:ind w:right="684"/>
        <w:contextualSpacing w:val="0"/>
        <w:jc w:val="both"/>
        <w:rPr>
          <w:rFonts w:asciiTheme="minorHAnsi" w:eastAsia="Arial" w:hAnsiTheme="minorHAnsi" w:cstheme="minorHAnsi"/>
          <w:b/>
          <w:color w:val="333399"/>
          <w:sz w:val="24"/>
          <w:szCs w:val="24"/>
          <w:lang w:val="en-US"/>
        </w:rPr>
      </w:pPr>
      <w:r w:rsidRPr="00BE6ED0">
        <w:rPr>
          <w:rFonts w:asciiTheme="minorHAnsi" w:eastAsia="Arial" w:hAnsiTheme="minorHAnsi" w:cstheme="minorHAnsi"/>
          <w:b/>
          <w:color w:val="333399"/>
          <w:sz w:val="24"/>
          <w:szCs w:val="24"/>
          <w:lang w:val="en-US"/>
        </w:rPr>
        <w:t>Feedback or suggestions about the process or format for submissions to the Asylum Report</w:t>
      </w:r>
    </w:p>
    <w:p w14:paraId="73BECBA1" w14:textId="77777777" w:rsidR="007D18F2" w:rsidRDefault="007D18F2" w:rsidP="007D18F2"/>
    <w:p w14:paraId="534EF84B" w14:textId="77777777" w:rsidR="007D18F2" w:rsidRDefault="007D18F2" w:rsidP="007D18F2"/>
    <w:p w14:paraId="1798324F" w14:textId="77777777" w:rsidR="007D18F2" w:rsidRDefault="007D18F2" w:rsidP="007D18F2"/>
    <w:p w14:paraId="44CECB1A" w14:textId="77777777" w:rsidR="007D18F2" w:rsidRDefault="007D18F2" w:rsidP="007D18F2">
      <w:pPr>
        <w:pStyle w:val="Heading1"/>
      </w:pPr>
      <w:r>
        <w:rPr>
          <w:noProof/>
          <w:lang w:val="nl-NL" w:eastAsia="nl-NL"/>
        </w:rPr>
        <mc:AlternateContent>
          <mc:Choice Requires="wps">
            <w:drawing>
              <wp:anchor distT="0" distB="0" distL="114300" distR="114300" simplePos="0" relativeHeight="251662336" behindDoc="0" locked="0" layoutInCell="1" allowOverlap="1" wp14:anchorId="0FD756EC" wp14:editId="532E5AD3">
                <wp:simplePos x="0" y="0"/>
                <wp:positionH relativeFrom="page">
                  <wp:posOffset>695325</wp:posOffset>
                </wp:positionH>
                <wp:positionV relativeFrom="paragraph">
                  <wp:posOffset>327660</wp:posOffset>
                </wp:positionV>
                <wp:extent cx="63817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C2876"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pt" to="55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" strokecolor="#004e98" strokeweight="1.5pt">
                <w10:wrap anchorx="page"/>
              </v:line>
            </w:pict>
          </mc:Fallback>
        </mc:AlternateContent>
      </w:r>
      <w:r>
        <w:rPr>
          <w:color w:val="004E98"/>
        </w:rPr>
        <w:t>Contact details</w:t>
      </w:r>
    </w:p>
    <w:p w14:paraId="4C528C72" w14:textId="77777777" w:rsidR="007D18F2" w:rsidRDefault="007D18F2" w:rsidP="007D18F2">
      <w:pPr>
        <w:pStyle w:val="NoSpacing"/>
      </w:pPr>
    </w:p>
    <w:p w14:paraId="15E2CFC0" w14:textId="77777777" w:rsidR="007D18F2" w:rsidRDefault="007D18F2" w:rsidP="007D18F2">
      <w:pPr>
        <w:pStyle w:val="NoSpacing"/>
      </w:pPr>
    </w:p>
    <w:p w14:paraId="3948C687" w14:textId="77777777" w:rsidR="007D18F2" w:rsidRPr="00BE6ED0" w:rsidRDefault="007D18F2" w:rsidP="007D18F2">
      <w:pPr>
        <w:pStyle w:val="NoSpacing"/>
        <w:rPr>
          <w:rFonts w:eastAsia="Arial" w:cstheme="minorHAnsi"/>
          <w:b/>
          <w:color w:val="333399"/>
          <w:sz w:val="24"/>
          <w:szCs w:val="24"/>
          <w:lang w:val="en-US"/>
        </w:rPr>
      </w:pPr>
      <w:r w:rsidRPr="00BE6ED0">
        <w:rPr>
          <w:rFonts w:eastAsia="Arial" w:cstheme="minorHAnsi"/>
          <w:b/>
          <w:color w:val="333399"/>
          <w:sz w:val="24"/>
          <w:szCs w:val="24"/>
          <w:lang w:val="en-US"/>
        </w:rPr>
        <w:lastRenderedPageBreak/>
        <w:t xml:space="preserve">Name of </w:t>
      </w:r>
      <w:proofErr w:type="spellStart"/>
      <w:r w:rsidRPr="00BE6ED0">
        <w:rPr>
          <w:rFonts w:eastAsia="Arial" w:cstheme="minorHAnsi"/>
          <w:b/>
          <w:color w:val="333399"/>
          <w:sz w:val="24"/>
          <w:szCs w:val="24"/>
          <w:lang w:val="en-US"/>
        </w:rPr>
        <w:t>Organisation</w:t>
      </w:r>
      <w:proofErr w:type="spellEnd"/>
      <w:r w:rsidRPr="00BE6ED0">
        <w:rPr>
          <w:rFonts w:eastAsia="Arial" w:cstheme="minorHAnsi"/>
          <w:b/>
          <w:color w:val="333399"/>
          <w:sz w:val="24"/>
          <w:szCs w:val="24"/>
          <w:lang w:val="en-US"/>
        </w:rPr>
        <w:t>:</w:t>
      </w:r>
    </w:p>
    <w:p w14:paraId="37F4F159" w14:textId="77777777" w:rsidR="007D18F2" w:rsidRPr="00B47840" w:rsidRDefault="007D18F2" w:rsidP="007D18F2">
      <w:pPr>
        <w:pStyle w:val="NoSpacing"/>
        <w:rPr>
          <w:rFonts w:ascii="Arial" w:eastAsia="Arial" w:hAnsi="Arial" w:cs="Arial"/>
          <w:b/>
          <w:color w:val="333399"/>
          <w:sz w:val="21"/>
          <w:lang w:val="en-US"/>
        </w:rPr>
      </w:pPr>
    </w:p>
    <w:p w14:paraId="6B10C946" w14:textId="0F032FAE" w:rsidR="002446B5" w:rsidRPr="00855601" w:rsidRDefault="002446B5" w:rsidP="00855601">
      <w:r w:rsidRPr="00855601">
        <w:t>Dutch Advisory Committee on Migration Affairs</w:t>
      </w:r>
      <w:r w:rsidR="00855601" w:rsidRPr="00855601">
        <w:t xml:space="preserve"> / Dutch Advisory Council Migration</w:t>
      </w:r>
    </w:p>
    <w:p w14:paraId="7BEE016E" w14:textId="77777777" w:rsidR="002446B5" w:rsidRPr="00B47840" w:rsidRDefault="002446B5" w:rsidP="007D18F2">
      <w:pPr>
        <w:pStyle w:val="NoSpacing"/>
        <w:rPr>
          <w:rFonts w:ascii="Arial" w:eastAsia="Arial" w:hAnsi="Arial" w:cs="Arial"/>
          <w:b/>
          <w:color w:val="333399"/>
          <w:sz w:val="21"/>
          <w:lang w:val="en-US"/>
        </w:rPr>
      </w:pPr>
    </w:p>
    <w:p w14:paraId="6C95DFE7" w14:textId="2732EA9F" w:rsidR="007D18F2" w:rsidRDefault="007D18F2" w:rsidP="007D18F2">
      <w:pPr>
        <w:pStyle w:val="NoSpacing"/>
        <w:rPr>
          <w:rFonts w:eastAsia="Arial" w:cstheme="minorHAnsi"/>
          <w:b/>
          <w:color w:val="333399"/>
          <w:sz w:val="24"/>
          <w:szCs w:val="24"/>
          <w:lang w:val="en-US"/>
        </w:rPr>
      </w:pPr>
      <w:r w:rsidRPr="00BE6ED0">
        <w:rPr>
          <w:rFonts w:eastAsia="Arial" w:cstheme="minorHAnsi"/>
          <w:b/>
          <w:color w:val="333399"/>
          <w:sz w:val="24"/>
          <w:szCs w:val="24"/>
          <w:lang w:val="en-US"/>
        </w:rPr>
        <w:t xml:space="preserve">Name and title of contact person: </w:t>
      </w:r>
    </w:p>
    <w:p w14:paraId="4CBB8A91" w14:textId="77777777" w:rsidR="007D18F2" w:rsidRDefault="007D18F2" w:rsidP="007D18F2">
      <w:pPr>
        <w:pStyle w:val="NoSpacing"/>
        <w:rPr>
          <w:rFonts w:ascii="Arial" w:eastAsia="Arial" w:hAnsi="Arial" w:cs="Arial"/>
          <w:b/>
          <w:color w:val="333399"/>
          <w:sz w:val="21"/>
          <w:lang w:val="en-US"/>
        </w:rPr>
      </w:pPr>
    </w:p>
    <w:p w14:paraId="51BFBB02" w14:textId="602AB49E" w:rsidR="007D18F2" w:rsidRPr="00855601" w:rsidRDefault="00855601" w:rsidP="00855601">
      <w:pPr>
        <w:rPr>
          <w:rFonts w:eastAsia="Arial"/>
        </w:rPr>
      </w:pPr>
      <w:r w:rsidRPr="00855601">
        <w:rPr>
          <w:rFonts w:eastAsia="Arial"/>
        </w:rPr>
        <w:t>Wolf Mannens, secretary-director</w:t>
      </w:r>
    </w:p>
    <w:p w14:paraId="7A676EE3" w14:textId="77777777" w:rsidR="00855601" w:rsidRDefault="00855601" w:rsidP="007D18F2">
      <w:pPr>
        <w:pStyle w:val="NoSpacing"/>
        <w:rPr>
          <w:rFonts w:ascii="Arial" w:eastAsia="Arial" w:hAnsi="Arial" w:cs="Arial"/>
          <w:b/>
          <w:color w:val="333399"/>
          <w:sz w:val="21"/>
          <w:lang w:val="en-US"/>
        </w:rPr>
      </w:pPr>
    </w:p>
    <w:p w14:paraId="28171FF5" w14:textId="389A2E31" w:rsidR="007D18F2" w:rsidRPr="00BE6ED0" w:rsidRDefault="007D18F2" w:rsidP="007D18F2">
      <w:pPr>
        <w:pStyle w:val="NoSpacing"/>
        <w:rPr>
          <w:rFonts w:eastAsia="Arial" w:cstheme="minorHAnsi"/>
          <w:b/>
          <w:color w:val="333399"/>
          <w:sz w:val="24"/>
          <w:szCs w:val="24"/>
          <w:lang w:val="en-US"/>
        </w:rPr>
      </w:pPr>
      <w:r w:rsidRPr="00BE6ED0">
        <w:rPr>
          <w:rFonts w:eastAsia="Arial" w:cstheme="minorHAnsi"/>
          <w:b/>
          <w:color w:val="333399"/>
          <w:sz w:val="24"/>
          <w:szCs w:val="24"/>
          <w:lang w:val="en-US"/>
        </w:rPr>
        <w:t xml:space="preserve">Email: </w:t>
      </w:r>
    </w:p>
    <w:p w14:paraId="1A31B859" w14:textId="615FFDBE" w:rsidR="007D18F2" w:rsidRDefault="007D18F2" w:rsidP="007D18F2">
      <w:pPr>
        <w:pStyle w:val="NoSpacing"/>
        <w:rPr>
          <w:rFonts w:ascii="Arial" w:eastAsia="Arial" w:hAnsi="Arial" w:cs="Arial"/>
          <w:b/>
          <w:color w:val="333399"/>
          <w:sz w:val="21"/>
          <w:lang w:val="en-US"/>
        </w:rPr>
      </w:pPr>
    </w:p>
    <w:p w14:paraId="3A9654E4" w14:textId="31F27780" w:rsidR="00855601" w:rsidRPr="00855601" w:rsidRDefault="00855601" w:rsidP="00855601">
      <w:pPr>
        <w:rPr>
          <w:rFonts w:eastAsia="Arial"/>
        </w:rPr>
      </w:pPr>
      <w:r w:rsidRPr="00855601">
        <w:rPr>
          <w:rFonts w:eastAsia="Arial"/>
        </w:rPr>
        <w:t>w.n.mannens@acvz.minjenv.nl</w:t>
      </w:r>
    </w:p>
    <w:p w14:paraId="0079E69B" w14:textId="77777777" w:rsidR="007D18F2" w:rsidRPr="00B47840" w:rsidRDefault="007D18F2" w:rsidP="007D18F2">
      <w:pPr>
        <w:pStyle w:val="NoSpacing"/>
        <w:rPr>
          <w:rFonts w:ascii="Arial" w:eastAsia="Arial" w:hAnsi="Arial" w:cs="Arial"/>
          <w:b/>
          <w:color w:val="333399"/>
          <w:sz w:val="21"/>
          <w:lang w:val="en-US"/>
        </w:rPr>
      </w:pPr>
      <w:r w:rsidRPr="00B47840">
        <w:rPr>
          <w:rFonts w:ascii="Arial" w:eastAsia="Arial" w:hAnsi="Arial" w:cs="Arial"/>
          <w:b/>
          <w:color w:val="333399"/>
          <w:sz w:val="21"/>
          <w:lang w:val="en-US"/>
        </w:rPr>
        <w:t xml:space="preserve"> </w:t>
      </w:r>
    </w:p>
    <w:p w14:paraId="5B5E08EC" w14:textId="63BF8C4A" w:rsidR="007D18F2" w:rsidRPr="00586F0D" w:rsidRDefault="00381188" w:rsidP="007D18F2">
      <w:pPr>
        <w:pStyle w:val="NoSpacing"/>
      </w:pPr>
      <w:sdt>
        <w:sdtPr>
          <w:rPr>
            <w:rFonts w:ascii="Arial" w:eastAsia="Arial" w:hAnsi="Arial" w:cs="Arial"/>
            <w:b/>
            <w:color w:val="333399"/>
            <w:sz w:val="21"/>
            <w:lang w:val="en-US"/>
          </w:rPr>
          <w:id w:val="-1013301054"/>
          <w14:checkbox>
            <w14:checked w14:val="1"/>
            <w14:checkedState w14:val="2612" w14:font="MS Gothic"/>
            <w14:uncheckedState w14:val="2610" w14:font="MS Gothic"/>
          </w14:checkbox>
        </w:sdtPr>
        <w:sdtEndPr/>
        <w:sdtContent>
          <w:r w:rsidR="002446B5">
            <w:rPr>
              <w:rFonts w:ascii="MS Gothic" w:eastAsia="MS Gothic" w:hAnsi="MS Gothic" w:cs="Arial" w:hint="eastAsia"/>
              <w:b/>
              <w:color w:val="333399"/>
              <w:sz w:val="21"/>
              <w:lang w:val="en-US"/>
            </w:rPr>
            <w:t>☒</w:t>
          </w:r>
        </w:sdtContent>
      </w:sdt>
      <w:r w:rsidR="007D18F2" w:rsidRPr="00B47840">
        <w:rPr>
          <w:rFonts w:ascii="Arial" w:eastAsia="Arial" w:hAnsi="Arial" w:cs="Arial"/>
          <w:b/>
          <w:color w:val="333399"/>
          <w:sz w:val="21"/>
          <w:lang w:val="en-US"/>
        </w:rPr>
        <w:t xml:space="preserve"> I accept the provisions of the </w:t>
      </w:r>
      <w:r w:rsidR="007D18F2">
        <w:rPr>
          <w:rFonts w:ascii="Arial" w:eastAsia="Arial" w:hAnsi="Arial" w:cs="Arial"/>
          <w:b/>
          <w:color w:val="333399"/>
          <w:sz w:val="21"/>
          <w:lang w:val="en-US"/>
        </w:rPr>
        <w:t>EUAA</w:t>
      </w:r>
      <w:r w:rsidR="007D18F2">
        <w:rPr>
          <w:rFonts w:ascii="Arial Unicode MS"/>
          <w:color w:val="333333"/>
          <w:sz w:val="21"/>
        </w:rPr>
        <w:t xml:space="preserve"> </w:t>
      </w:r>
      <w:hyperlink r:id="rId37">
        <w:r w:rsidR="007D18F2" w:rsidRPr="00B47840">
          <w:rPr>
            <w:rFonts w:ascii="Arial" w:hAnsi="Arial" w:cs="Arial"/>
            <w:b/>
            <w:bCs/>
            <w:color w:val="0068D6"/>
            <w:sz w:val="21"/>
            <w:szCs w:val="21"/>
            <w:u w:val="single" w:color="0068D6"/>
          </w:rPr>
          <w:t>Legal and Privacy</w:t>
        </w:r>
        <w:r w:rsidR="007D18F2" w:rsidRPr="00B47840">
          <w:rPr>
            <w:rFonts w:ascii="Arial" w:hAnsi="Arial" w:cs="Arial"/>
            <w:b/>
            <w:bCs/>
            <w:color w:val="0068D6"/>
            <w:spacing w:val="2"/>
            <w:sz w:val="21"/>
            <w:szCs w:val="21"/>
            <w:u w:val="single" w:color="0068D6"/>
          </w:rPr>
          <w:t xml:space="preserve"> </w:t>
        </w:r>
        <w:r w:rsidR="007D18F2" w:rsidRPr="00B47840">
          <w:rPr>
            <w:rFonts w:ascii="Arial" w:hAnsi="Arial" w:cs="Arial"/>
            <w:b/>
            <w:bCs/>
            <w:color w:val="0068D6"/>
            <w:sz w:val="21"/>
            <w:szCs w:val="21"/>
            <w:u w:val="single" w:color="0068D6"/>
          </w:rPr>
          <w:t>Statements</w:t>
        </w:r>
      </w:hyperlink>
    </w:p>
    <w:sectPr w:rsidR="007D18F2" w:rsidRPr="00586F0D" w:rsidSect="00452395">
      <w:headerReference w:type="even" r:id="rId38"/>
      <w:headerReference w:type="default" r:id="rId39"/>
      <w:footerReference w:type="even" r:id="rId40"/>
      <w:footerReference w:type="default" r:id="rId41"/>
      <w:headerReference w:type="first" r:id="rId42"/>
      <w:footerReference w:type="first" r:id="rId43"/>
      <w:pgSz w:w="11906" w:h="16838"/>
      <w:pgMar w:top="2546" w:right="1418" w:bottom="1701" w:left="1418" w:header="0"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FAAD" w14:textId="77777777" w:rsidR="001C4AC7" w:rsidRDefault="001C4AC7" w:rsidP="00585059">
      <w:r>
        <w:separator/>
      </w:r>
    </w:p>
  </w:endnote>
  <w:endnote w:type="continuationSeparator" w:id="0">
    <w:p w14:paraId="573034AC" w14:textId="77777777" w:rsidR="001C4AC7" w:rsidRDefault="001C4AC7" w:rsidP="0058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Bright-Italic">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Proxima Nova Cond Thin">
    <w:altName w:val="Tahoma"/>
    <w:panose1 w:val="02000506030000020004"/>
    <w:charset w:val="00"/>
    <w:family w:val="auto"/>
    <w:pitch w:val="variable"/>
    <w:sig w:usb0="A00002EF" w:usb1="5000E0FB" w:usb2="00000000" w:usb3="00000000" w:csb0="0000019F" w:csb1="00000000"/>
  </w:font>
  <w:font w:name="Proxima Nova Cond">
    <w:altName w:val="Tahoma"/>
    <w:panose1 w:val="02000506030000020004"/>
    <w:charset w:val="00"/>
    <w:family w:val="auto"/>
    <w:pitch w:val="variable"/>
    <w:sig w:usb0="A00002EF" w:usb1="5000E0FB" w:usb2="00000000" w:usb3="00000000" w:csb0="0000019F" w:csb1="00000000"/>
  </w:font>
  <w:font w:name="Proxima Nova">
    <w:altName w:val="Tahoma"/>
    <w:panose1 w:val="02000506030000020004"/>
    <w:charset w:val="00"/>
    <w:family w:val="auto"/>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142" w:type="dxa"/>
      <w:tblBorders>
        <w:insideH w:val="single" w:sz="4" w:space="0" w:color="auto"/>
        <w:insideV w:val="single" w:sz="4" w:space="0" w:color="auto"/>
      </w:tblBorders>
      <w:tblLook w:val="04A0" w:firstRow="1" w:lastRow="0" w:firstColumn="1" w:lastColumn="0" w:noHBand="0" w:noVBand="1"/>
    </w:tblPr>
    <w:tblGrid>
      <w:gridCol w:w="3545"/>
      <w:gridCol w:w="2268"/>
      <w:gridCol w:w="2976"/>
    </w:tblGrid>
    <w:tr w:rsidR="004F73E0" w:rsidRPr="00362BF8" w14:paraId="3FC32E1F" w14:textId="77777777" w:rsidTr="00AB46EA">
      <w:trPr>
        <w:trHeight w:val="405"/>
      </w:trPr>
      <w:tc>
        <w:tcPr>
          <w:tcW w:w="3545" w:type="dxa"/>
          <w:tcBorders>
            <w:top w:val="nil"/>
            <w:bottom w:val="nil"/>
            <w:right w:val="single" w:sz="4" w:space="0" w:color="A5A5A5"/>
          </w:tcBorders>
          <w:shd w:val="clear" w:color="auto" w:fill="auto"/>
        </w:tcPr>
        <w:p w14:paraId="35906774"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 xml:space="preserve">European </w:t>
          </w:r>
          <w:r w:rsidR="00033A89" w:rsidRPr="00AB46EA">
            <w:rPr>
              <w:rFonts w:ascii="Proxima Nova Cond Thin" w:hAnsi="Proxima Nova Cond Thin" w:cs="Calibri Light"/>
              <w:color w:val="767171"/>
              <w:sz w:val="18"/>
              <w:szCs w:val="18"/>
            </w:rPr>
            <w:t>Union Agency for Asylum</w:t>
          </w:r>
        </w:p>
        <w:p w14:paraId="7FDDAF11" w14:textId="77777777" w:rsidR="004F73E0" w:rsidRPr="00AB46EA" w:rsidRDefault="004F73E0" w:rsidP="00AB46EA">
          <w:pPr>
            <w:pStyle w:val="Footer"/>
            <w:jc w:val="center"/>
            <w:rPr>
              <w:rFonts w:ascii="Proxima Nova Cond Thin" w:hAnsi="Proxima Nova Cond Thin"/>
              <w:color w:val="767171"/>
              <w:sz w:val="18"/>
              <w:szCs w:val="18"/>
            </w:rPr>
          </w:pPr>
          <w:r w:rsidRPr="00AB46EA">
            <w:rPr>
              <w:rFonts w:ascii="Proxima Nova Cond Thin" w:hAnsi="Proxima Nova Cond Thin" w:cs="Calibri Light"/>
              <w:color w:val="767171"/>
              <w:sz w:val="18"/>
              <w:szCs w:val="18"/>
            </w:rPr>
            <w:t>www.e</w:t>
          </w:r>
          <w:r w:rsidR="00033A89" w:rsidRPr="00AB46EA">
            <w:rPr>
              <w:rFonts w:ascii="Proxima Nova Cond Thin" w:hAnsi="Proxima Nova Cond Thin" w:cs="Calibri Light"/>
              <w:color w:val="767171"/>
              <w:sz w:val="18"/>
              <w:szCs w:val="18"/>
            </w:rPr>
            <w:t>uaa</w:t>
          </w:r>
          <w:r w:rsidRPr="00AB46EA">
            <w:rPr>
              <w:rFonts w:ascii="Proxima Nova Cond Thin" w:hAnsi="Proxima Nova Cond Thin" w:cs="Calibri Light"/>
              <w:color w:val="767171"/>
              <w:sz w:val="18"/>
              <w:szCs w:val="18"/>
            </w:rPr>
            <w:t>.europa.eu</w:t>
          </w:r>
        </w:p>
      </w:tc>
      <w:tc>
        <w:tcPr>
          <w:tcW w:w="2268" w:type="dxa"/>
          <w:tcBorders>
            <w:top w:val="nil"/>
            <w:left w:val="single" w:sz="4" w:space="0" w:color="A5A5A5"/>
            <w:bottom w:val="nil"/>
            <w:right w:val="single" w:sz="4" w:space="0" w:color="A5A5A5"/>
          </w:tcBorders>
          <w:shd w:val="clear" w:color="auto" w:fill="auto"/>
        </w:tcPr>
        <w:p w14:paraId="76922EE3" w14:textId="77777777" w:rsidR="004F73E0" w:rsidRPr="00855601" w:rsidRDefault="004F73E0" w:rsidP="00AB46EA">
          <w:pPr>
            <w:pStyle w:val="BasicParagraph"/>
            <w:jc w:val="center"/>
            <w:rPr>
              <w:rFonts w:ascii="Proxima Nova Cond Thin" w:hAnsi="Proxima Nova Cond Thin" w:cs="Calibri Light"/>
              <w:color w:val="767171"/>
              <w:sz w:val="18"/>
              <w:szCs w:val="18"/>
              <w:lang w:val="de-DE"/>
            </w:rPr>
          </w:pPr>
          <w:r w:rsidRPr="00855601">
            <w:rPr>
              <w:rFonts w:ascii="Proxima Nova Cond Thin" w:hAnsi="Proxima Nova Cond Thin" w:cs="Calibri Light"/>
              <w:color w:val="767171"/>
              <w:sz w:val="18"/>
              <w:szCs w:val="18"/>
              <w:lang w:val="de-DE"/>
            </w:rPr>
            <w:t>Tel: +356 2248 7500</w:t>
          </w:r>
        </w:p>
        <w:p w14:paraId="611DA34A" w14:textId="77777777" w:rsidR="004F73E0" w:rsidRPr="00855601" w:rsidRDefault="004F73E0" w:rsidP="00AB46EA">
          <w:pPr>
            <w:pStyle w:val="Footer"/>
            <w:jc w:val="center"/>
            <w:rPr>
              <w:rFonts w:ascii="Proxima Nova Cond Thin" w:hAnsi="Proxima Nova Cond Thin"/>
              <w:color w:val="767171"/>
              <w:sz w:val="18"/>
              <w:szCs w:val="18"/>
              <w:lang w:val="de-DE"/>
            </w:rPr>
          </w:pPr>
          <w:r w:rsidRPr="00855601">
            <w:rPr>
              <w:rFonts w:ascii="Proxima Nova Cond Thin" w:hAnsi="Proxima Nova Cond Thin" w:cs="Calibri Light"/>
              <w:color w:val="767171"/>
              <w:sz w:val="18"/>
              <w:szCs w:val="18"/>
              <w:lang w:val="de-DE"/>
            </w:rPr>
            <w:t>info@e</w:t>
          </w:r>
          <w:r w:rsidR="00033A89" w:rsidRPr="00855601">
            <w:rPr>
              <w:rFonts w:ascii="Proxima Nova Cond Thin" w:hAnsi="Proxima Nova Cond Thin" w:cs="Calibri Light"/>
              <w:color w:val="767171"/>
              <w:sz w:val="18"/>
              <w:szCs w:val="18"/>
              <w:lang w:val="de-DE"/>
            </w:rPr>
            <w:t>uaa</w:t>
          </w:r>
          <w:r w:rsidRPr="00855601">
            <w:rPr>
              <w:rFonts w:ascii="Proxima Nova Cond Thin" w:hAnsi="Proxima Nova Cond Thin" w:cs="Calibri Light"/>
              <w:color w:val="767171"/>
              <w:sz w:val="18"/>
              <w:szCs w:val="18"/>
              <w:lang w:val="de-DE"/>
            </w:rPr>
            <w:t>.europa.eu</w:t>
          </w:r>
        </w:p>
      </w:tc>
      <w:tc>
        <w:tcPr>
          <w:tcW w:w="2976" w:type="dxa"/>
          <w:tcBorders>
            <w:left w:val="single" w:sz="4" w:space="0" w:color="A5A5A5"/>
          </w:tcBorders>
          <w:shd w:val="clear" w:color="auto" w:fill="auto"/>
        </w:tcPr>
        <w:p w14:paraId="490E2C38"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Winemakers Wharf</w:t>
          </w:r>
          <w:r w:rsidRPr="00AB46EA">
            <w:rPr>
              <w:rFonts w:ascii="Proxima Nova Cond Thin" w:hAnsi="Proxima Nova Cond Thin" w:cs="Calibri Light"/>
              <w:color w:val="767171"/>
              <w:sz w:val="18"/>
              <w:szCs w:val="18"/>
            </w:rPr>
            <w:br/>
            <w:t>Valletta, MRS 1917, MALTA</w:t>
          </w:r>
        </w:p>
      </w:tc>
    </w:tr>
  </w:tbl>
  <w:p w14:paraId="3DCD2391" w14:textId="77777777" w:rsidR="004F73E0" w:rsidRPr="00AB46EA" w:rsidRDefault="00DD0D0B">
    <w:pPr>
      <w:pStyle w:val="Footer"/>
      <w:rPr>
        <w:rFonts w:ascii="Proxima Nova Cond" w:hAnsi="Proxima Nova Cond"/>
        <w:color w:val="767171"/>
      </w:rPr>
    </w:pPr>
    <w:r>
      <w:rPr>
        <w:noProof/>
        <w:lang w:val="nl-NL" w:eastAsia="nl-NL"/>
      </w:rPr>
      <mc:AlternateContent>
        <mc:Choice Requires="wps">
          <w:drawing>
            <wp:anchor distT="0" distB="0" distL="114300" distR="114300" simplePos="0" relativeHeight="251654144" behindDoc="0" locked="0" layoutInCell="1" allowOverlap="1" wp14:anchorId="2C770C76" wp14:editId="6E25DBA3">
              <wp:simplePos x="0" y="0"/>
              <wp:positionH relativeFrom="page">
                <wp:posOffset>6732905</wp:posOffset>
              </wp:positionH>
              <wp:positionV relativeFrom="page">
                <wp:posOffset>9965690</wp:posOffset>
              </wp:positionV>
              <wp:extent cx="495300" cy="3689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368935"/>
                      </a:xfrm>
                      <a:prstGeom prst="rect">
                        <a:avLst/>
                      </a:prstGeom>
                      <a:noFill/>
                      <a:ln w="6350">
                        <a:noFill/>
                      </a:ln>
                    </wps:spPr>
                    <wps:txbx>
                      <w:txbxContent>
                        <w:p w14:paraId="39C7B5C6" w14:textId="77777777" w:rsidR="004F73E0" w:rsidRPr="00AB46EA" w:rsidRDefault="004F73E0"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70C76" id="_x0000_t202" coordsize="21600,21600" o:spt="202" path="m,l,21600r21600,l21600,xe">
              <v:stroke joinstyle="miter"/>
              <v:path gradientshapeok="t" o:connecttype="rect"/>
            </v:shapetype>
            <v:shape id="Text Box 19" o:spid="_x0000_s1026" type="#_x0000_t202" style="position:absolute;margin-left:530.15pt;margin-top:784.7pt;width:39pt;height:2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" filled="f" stroked="f" strokeweight=".5pt">
              <v:textbox>
                <w:txbxContent>
                  <w:p w14:paraId="39C7B5C6" w14:textId="77777777" w:rsidR="004F73E0" w:rsidRPr="00AB46EA" w:rsidRDefault="004F73E0"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v:textbox>
              <w10:wrap anchorx="page" anchory="page"/>
            </v:shape>
          </w:pict>
        </mc:Fallback>
      </mc:AlternateContent>
    </w:r>
    <w:r>
      <w:rPr>
        <w:noProof/>
        <w:lang w:val="nl-NL" w:eastAsia="nl-NL"/>
      </w:rPr>
      <w:drawing>
        <wp:anchor distT="0" distB="0" distL="114300" distR="114300" simplePos="0" relativeHeight="251660288" behindDoc="1" locked="0" layoutInCell="1" allowOverlap="1" wp14:anchorId="3D67F513" wp14:editId="5831B34A">
          <wp:simplePos x="0" y="0"/>
          <wp:positionH relativeFrom="column">
            <wp:posOffset>5902325</wp:posOffset>
          </wp:positionH>
          <wp:positionV relativeFrom="paragraph">
            <wp:posOffset>-339090</wp:posOffset>
          </wp:positionV>
          <wp:extent cx="330200" cy="330200"/>
          <wp:effectExtent l="0" t="0" r="0" b="0"/>
          <wp:wrapNone/>
          <wp:docPr id="7" name="Graphic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Graphic 513"/>
                  <pic:cNvPicPr/>
                </pic:nvPicPr>
                <pic:blipFill>
                  <a:blip r:embed="rId1"/>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01DA5662" w14:textId="77777777" w:rsidR="004F73E0" w:rsidRDefault="004F7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45A9" w14:textId="46101923" w:rsidR="00D0635F" w:rsidRDefault="00F93016">
    <w:pPr>
      <w:pStyle w:val="Footer"/>
      <w:jc w:val="right"/>
    </w:pPr>
    <w:r>
      <w:rPr>
        <w:noProof/>
        <w:lang w:val="nl-NL" w:eastAsia="nl-NL"/>
      </w:rPr>
      <w:drawing>
        <wp:anchor distT="0" distB="0" distL="114300" distR="114300" simplePos="0" relativeHeight="251667456" behindDoc="1" locked="0" layoutInCell="1" allowOverlap="1" wp14:anchorId="6574EE54" wp14:editId="291ABFF6">
          <wp:simplePos x="0" y="0"/>
          <wp:positionH relativeFrom="column">
            <wp:posOffset>5952154</wp:posOffset>
          </wp:positionH>
          <wp:positionV relativeFrom="paragraph">
            <wp:posOffset>161364</wp:posOffset>
          </wp:positionV>
          <wp:extent cx="330200" cy="330200"/>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sidR="00441BF0" w:rsidRPr="00AB46EA">
      <w:rPr>
        <w:rFonts w:ascii="Proxima Nova Cond Thin" w:hAnsi="Proxima Nova Cond Thin"/>
        <w:noProof/>
        <w:color w:val="767171"/>
        <w:sz w:val="18"/>
        <w:szCs w:val="18"/>
      </w:rPr>
      <w:t xml:space="preserve"> </w:t>
    </w:r>
  </w:p>
  <w:tbl>
    <w:tblPr>
      <w:tblW w:w="8789" w:type="dxa"/>
      <w:tblInd w:w="-142" w:type="dxa"/>
      <w:tblBorders>
        <w:insideH w:val="single" w:sz="4" w:space="0" w:color="auto"/>
        <w:insideV w:val="single" w:sz="4" w:space="0" w:color="auto"/>
      </w:tblBorders>
      <w:tblLook w:val="04A0" w:firstRow="1" w:lastRow="0" w:firstColumn="1" w:lastColumn="0" w:noHBand="0" w:noVBand="1"/>
    </w:tblPr>
    <w:tblGrid>
      <w:gridCol w:w="3403"/>
      <w:gridCol w:w="2410"/>
      <w:gridCol w:w="2976"/>
    </w:tblGrid>
    <w:tr w:rsidR="00D0635F" w:rsidRPr="00362BF8" w14:paraId="2432E746" w14:textId="77777777" w:rsidTr="009B38E6">
      <w:trPr>
        <w:trHeight w:val="405"/>
      </w:trPr>
      <w:tc>
        <w:tcPr>
          <w:tcW w:w="3403" w:type="dxa"/>
          <w:tcBorders>
            <w:top w:val="nil"/>
            <w:bottom w:val="nil"/>
            <w:right w:val="single" w:sz="4" w:space="0" w:color="A5A5A5"/>
          </w:tcBorders>
          <w:shd w:val="clear" w:color="auto" w:fill="auto"/>
        </w:tcPr>
        <w:p w14:paraId="36755995" w14:textId="77777777" w:rsidR="00D0635F" w:rsidRPr="0038628B" w:rsidRDefault="00D0635F" w:rsidP="0038628B">
          <w:pPr>
            <w:pStyle w:val="BasicParagraph"/>
            <w:ind w:right="36"/>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European Union Agency for Asylum</w:t>
          </w:r>
        </w:p>
        <w:p w14:paraId="4EFA8644" w14:textId="77777777" w:rsidR="00D0635F" w:rsidRPr="0038628B" w:rsidRDefault="00D0635F" w:rsidP="0038628B">
          <w:pPr>
            <w:pStyle w:val="Footer"/>
            <w:ind w:right="36"/>
            <w:jc w:val="center"/>
            <w:rPr>
              <w:rFonts w:ascii="Proxima Nova Cond" w:hAnsi="Proxima Nova Cond" w:cs="Calibri Light"/>
              <w:sz w:val="18"/>
              <w:szCs w:val="18"/>
            </w:rPr>
          </w:pPr>
          <w:r w:rsidRPr="0038628B">
            <w:rPr>
              <w:rFonts w:ascii="Proxima Nova Cond" w:hAnsi="Proxima Nova Cond" w:cs="Calibri Light"/>
              <w:sz w:val="18"/>
              <w:szCs w:val="18"/>
            </w:rPr>
            <w:t>www.euaa.europa.eu</w:t>
          </w:r>
        </w:p>
      </w:tc>
      <w:tc>
        <w:tcPr>
          <w:tcW w:w="2410" w:type="dxa"/>
          <w:tcBorders>
            <w:top w:val="nil"/>
            <w:left w:val="single" w:sz="4" w:space="0" w:color="A5A5A5"/>
            <w:bottom w:val="nil"/>
            <w:right w:val="single" w:sz="4" w:space="0" w:color="A5A5A5"/>
          </w:tcBorders>
          <w:shd w:val="clear" w:color="auto" w:fill="auto"/>
        </w:tcPr>
        <w:p w14:paraId="7BFDB012" w14:textId="77777777" w:rsidR="00D0635F" w:rsidRPr="00855601" w:rsidRDefault="00D0635F" w:rsidP="0038628B">
          <w:pPr>
            <w:pStyle w:val="BasicParagraph"/>
            <w:ind w:right="36"/>
            <w:jc w:val="center"/>
            <w:rPr>
              <w:rFonts w:ascii="Proxima Nova Cond" w:hAnsi="Proxima Nova Cond" w:cs="Calibri Light"/>
              <w:color w:val="auto"/>
              <w:sz w:val="18"/>
              <w:szCs w:val="18"/>
              <w:lang w:val="de-DE"/>
            </w:rPr>
          </w:pPr>
          <w:r w:rsidRPr="00855601">
            <w:rPr>
              <w:rFonts w:ascii="Proxima Nova Cond" w:hAnsi="Proxima Nova Cond" w:cs="Calibri Light"/>
              <w:color w:val="auto"/>
              <w:sz w:val="18"/>
              <w:szCs w:val="18"/>
              <w:lang w:val="de-DE"/>
            </w:rPr>
            <w:t>Tel: +356 2248 7500</w:t>
          </w:r>
        </w:p>
        <w:p w14:paraId="4E58ACC8" w14:textId="77777777" w:rsidR="00D0635F" w:rsidRPr="00855601" w:rsidRDefault="00D0635F" w:rsidP="0038628B">
          <w:pPr>
            <w:pStyle w:val="Footer"/>
            <w:ind w:right="36"/>
            <w:jc w:val="center"/>
            <w:rPr>
              <w:rFonts w:ascii="Proxima Nova Cond" w:hAnsi="Proxima Nova Cond" w:cs="Calibri Light"/>
              <w:sz w:val="18"/>
              <w:szCs w:val="18"/>
              <w:lang w:val="de-DE"/>
            </w:rPr>
          </w:pPr>
          <w:r w:rsidRPr="00855601">
            <w:rPr>
              <w:rFonts w:ascii="Proxima Nova Cond" w:hAnsi="Proxima Nova Cond" w:cs="Calibri Light"/>
              <w:sz w:val="18"/>
              <w:szCs w:val="18"/>
              <w:lang w:val="de-DE"/>
            </w:rPr>
            <w:t>info@euaa.europa.eu</w:t>
          </w:r>
        </w:p>
      </w:tc>
      <w:tc>
        <w:tcPr>
          <w:tcW w:w="2976" w:type="dxa"/>
          <w:tcBorders>
            <w:left w:val="single" w:sz="4" w:space="0" w:color="A5A5A5"/>
          </w:tcBorders>
          <w:shd w:val="clear" w:color="auto" w:fill="auto"/>
        </w:tcPr>
        <w:p w14:paraId="3AE95371" w14:textId="1A3388B4" w:rsidR="00D0635F" w:rsidRPr="0038628B" w:rsidRDefault="00D0635F" w:rsidP="0038628B">
          <w:pPr>
            <w:pStyle w:val="BasicParagraph"/>
            <w:ind w:right="36"/>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Winemakers Wharf</w:t>
          </w:r>
          <w:r w:rsidRPr="0038628B">
            <w:rPr>
              <w:rFonts w:ascii="Proxima Nova Cond" w:hAnsi="Proxima Nova Cond" w:cs="Calibri Light"/>
              <w:color w:val="auto"/>
              <w:sz w:val="18"/>
              <w:szCs w:val="18"/>
            </w:rPr>
            <w:br/>
            <w:t>Valletta, MRS 1917, MALTA</w:t>
          </w:r>
        </w:p>
      </w:tc>
    </w:tr>
  </w:tbl>
  <w:p w14:paraId="4FDF3E5F" w14:textId="1E6EE5C6" w:rsidR="00D0635F" w:rsidRPr="00A47D10" w:rsidRDefault="00D0635F" w:rsidP="00E20DE4">
    <w:pPr>
      <w:pStyle w:val="Footer"/>
      <w:tabs>
        <w:tab w:val="clear" w:pos="9026"/>
      </w:tabs>
      <w:ind w:right="-1015"/>
      <w:jc w:val="right"/>
      <w:rPr>
        <w:color w:val="808080"/>
        <w:sz w:val="20"/>
        <w:szCs w:val="20"/>
      </w:rPr>
    </w:pPr>
  </w:p>
  <w:p w14:paraId="4268A977" w14:textId="77777777" w:rsidR="0096535A" w:rsidRDefault="00965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1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3"/>
      <w:gridCol w:w="2410"/>
      <w:gridCol w:w="2976"/>
    </w:tblGrid>
    <w:tr w:rsidR="00587F30" w:rsidRPr="00362BF8" w14:paraId="33A55607" w14:textId="77777777" w:rsidTr="00EC57B4">
      <w:trPr>
        <w:trHeight w:val="405"/>
      </w:trPr>
      <w:tc>
        <w:tcPr>
          <w:tcW w:w="3403" w:type="dxa"/>
          <w:tcBorders>
            <w:top w:val="nil"/>
            <w:bottom w:val="nil"/>
            <w:right w:val="single" w:sz="4" w:space="0" w:color="A5A5A5" w:themeColor="accent3"/>
          </w:tcBorders>
        </w:tcPr>
        <w:p w14:paraId="1AB47A83" w14:textId="08D468BE" w:rsidR="00587F30" w:rsidRPr="0038628B" w:rsidRDefault="00587F30" w:rsidP="00EC57B4">
          <w:pPr>
            <w:pStyle w:val="BasicParagraph"/>
            <w:ind w:right="36"/>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 xml:space="preserve">European </w:t>
          </w:r>
          <w:r w:rsidR="00737C86" w:rsidRPr="0038628B">
            <w:rPr>
              <w:rFonts w:ascii="Proxima Nova Cond" w:hAnsi="Proxima Nova Cond" w:cs="Calibri Light"/>
              <w:color w:val="auto"/>
              <w:sz w:val="18"/>
              <w:szCs w:val="18"/>
            </w:rPr>
            <w:t>Union Agency for Asylum</w:t>
          </w:r>
        </w:p>
        <w:p w14:paraId="18CCC6D7" w14:textId="61DB5BDA" w:rsidR="00587F30" w:rsidRPr="0038628B" w:rsidRDefault="00587F30" w:rsidP="00971BD6">
          <w:pPr>
            <w:pStyle w:val="Footer"/>
            <w:jc w:val="center"/>
            <w:rPr>
              <w:rFonts w:ascii="Proxima Nova Cond" w:hAnsi="Proxima Nova Cond"/>
              <w:sz w:val="18"/>
              <w:szCs w:val="18"/>
            </w:rPr>
          </w:pPr>
          <w:r w:rsidRPr="0038628B">
            <w:rPr>
              <w:rFonts w:ascii="Proxima Nova Cond" w:hAnsi="Proxima Nova Cond" w:cs="Calibri Light"/>
              <w:sz w:val="18"/>
              <w:szCs w:val="18"/>
            </w:rPr>
            <w:t>www.e</w:t>
          </w:r>
          <w:r w:rsidR="004C1869" w:rsidRPr="0038628B">
            <w:rPr>
              <w:rFonts w:ascii="Proxima Nova Cond" w:hAnsi="Proxima Nova Cond" w:cs="Calibri Light"/>
              <w:sz w:val="18"/>
              <w:szCs w:val="18"/>
            </w:rPr>
            <w:t>uaa</w:t>
          </w:r>
          <w:r w:rsidRPr="0038628B">
            <w:rPr>
              <w:rFonts w:ascii="Proxima Nova Cond" w:hAnsi="Proxima Nova Cond" w:cs="Calibri Light"/>
              <w:sz w:val="18"/>
              <w:szCs w:val="18"/>
            </w:rPr>
            <w:t>.europa.eu</w:t>
          </w:r>
        </w:p>
      </w:tc>
      <w:tc>
        <w:tcPr>
          <w:tcW w:w="2410" w:type="dxa"/>
          <w:tcBorders>
            <w:top w:val="nil"/>
            <w:left w:val="single" w:sz="4" w:space="0" w:color="A5A5A5" w:themeColor="accent3"/>
            <w:bottom w:val="nil"/>
            <w:right w:val="single" w:sz="4" w:space="0" w:color="A5A5A5" w:themeColor="accent3"/>
          </w:tcBorders>
        </w:tcPr>
        <w:p w14:paraId="02F4D204" w14:textId="77777777" w:rsidR="00587F30" w:rsidRPr="00855601" w:rsidRDefault="00587F30" w:rsidP="00971BD6">
          <w:pPr>
            <w:pStyle w:val="BasicParagraph"/>
            <w:jc w:val="center"/>
            <w:rPr>
              <w:rFonts w:ascii="Proxima Nova Cond" w:hAnsi="Proxima Nova Cond" w:cs="Calibri Light"/>
              <w:color w:val="auto"/>
              <w:sz w:val="18"/>
              <w:szCs w:val="18"/>
              <w:lang w:val="de-DE"/>
            </w:rPr>
          </w:pPr>
          <w:r w:rsidRPr="00855601">
            <w:rPr>
              <w:rFonts w:ascii="Proxima Nova Cond" w:hAnsi="Proxima Nova Cond" w:cs="Calibri Light"/>
              <w:color w:val="auto"/>
              <w:sz w:val="18"/>
              <w:szCs w:val="18"/>
              <w:lang w:val="de-DE"/>
            </w:rPr>
            <w:t>Tel: +356 2248 7500</w:t>
          </w:r>
        </w:p>
        <w:p w14:paraId="0529A7DE" w14:textId="2A5695D2" w:rsidR="00587F30" w:rsidRPr="00855601" w:rsidRDefault="00587F30" w:rsidP="00971BD6">
          <w:pPr>
            <w:pStyle w:val="Footer"/>
            <w:jc w:val="center"/>
            <w:rPr>
              <w:rFonts w:ascii="Proxima Nova Cond" w:hAnsi="Proxima Nova Cond"/>
              <w:sz w:val="18"/>
              <w:szCs w:val="18"/>
              <w:lang w:val="de-DE"/>
            </w:rPr>
          </w:pPr>
          <w:r w:rsidRPr="00855601">
            <w:rPr>
              <w:rFonts w:ascii="Proxima Nova Cond" w:hAnsi="Proxima Nova Cond" w:cs="Calibri Light"/>
              <w:sz w:val="18"/>
              <w:szCs w:val="18"/>
              <w:lang w:val="de-DE"/>
            </w:rPr>
            <w:t>info@e</w:t>
          </w:r>
          <w:r w:rsidR="00737C86" w:rsidRPr="00855601">
            <w:rPr>
              <w:rFonts w:ascii="Proxima Nova Cond" w:hAnsi="Proxima Nova Cond" w:cs="Calibri Light"/>
              <w:sz w:val="18"/>
              <w:szCs w:val="18"/>
              <w:lang w:val="de-DE"/>
            </w:rPr>
            <w:t>uaa</w:t>
          </w:r>
          <w:r w:rsidRPr="00855601">
            <w:rPr>
              <w:rFonts w:ascii="Proxima Nova Cond" w:hAnsi="Proxima Nova Cond" w:cs="Calibri Light"/>
              <w:sz w:val="18"/>
              <w:szCs w:val="18"/>
              <w:lang w:val="de-DE"/>
            </w:rPr>
            <w:t>.europa.eu</w:t>
          </w:r>
        </w:p>
      </w:tc>
      <w:tc>
        <w:tcPr>
          <w:tcW w:w="2976" w:type="dxa"/>
          <w:tcBorders>
            <w:left w:val="single" w:sz="4" w:space="0" w:color="A5A5A5" w:themeColor="accent3"/>
          </w:tcBorders>
        </w:tcPr>
        <w:p w14:paraId="2A199CE9" w14:textId="0B86A9DD" w:rsidR="00587F30" w:rsidRPr="0038628B" w:rsidRDefault="00587F30" w:rsidP="00971BD6">
          <w:pPr>
            <w:pStyle w:val="BasicParagraph"/>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Winemakers Wharf</w:t>
          </w:r>
          <w:r w:rsidRPr="0038628B">
            <w:rPr>
              <w:rFonts w:ascii="Proxima Nova Cond" w:hAnsi="Proxima Nova Cond" w:cs="Calibri Light"/>
              <w:color w:val="auto"/>
              <w:sz w:val="18"/>
              <w:szCs w:val="18"/>
            </w:rPr>
            <w:br/>
            <w:t>Valletta, MRS 1917, MALTA</w:t>
          </w:r>
        </w:p>
      </w:tc>
    </w:tr>
  </w:tbl>
  <w:p w14:paraId="68E20865" w14:textId="2F0B44E6" w:rsidR="0088734B" w:rsidRPr="00A47D10" w:rsidRDefault="0088734B" w:rsidP="0088734B">
    <w:pPr>
      <w:pStyle w:val="Footer"/>
      <w:tabs>
        <w:tab w:val="clear" w:pos="9026"/>
      </w:tabs>
      <w:ind w:right="-1015"/>
      <w:jc w:val="right"/>
      <w:rPr>
        <w:color w:val="808080"/>
        <w:sz w:val="20"/>
        <w:szCs w:val="20"/>
      </w:rPr>
    </w:pPr>
    <w:r>
      <w:rPr>
        <w:noProof/>
        <w:lang w:val="nl-NL" w:eastAsia="nl-NL"/>
      </w:rPr>
      <w:drawing>
        <wp:anchor distT="0" distB="0" distL="114300" distR="114300" simplePos="0" relativeHeight="251665408" behindDoc="1" locked="0" layoutInCell="1" allowOverlap="1" wp14:anchorId="35BFD50E" wp14:editId="5E5EEDA4">
          <wp:simplePos x="0" y="0"/>
          <wp:positionH relativeFrom="column">
            <wp:posOffset>5948680</wp:posOffset>
          </wp:positionH>
          <wp:positionV relativeFrom="paragraph">
            <wp:posOffset>-353949</wp:posOffset>
          </wp:positionV>
          <wp:extent cx="330200" cy="33020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4268F594" w14:textId="77777777" w:rsidR="005C0939" w:rsidRPr="00AB46EA" w:rsidRDefault="005C0939" w:rsidP="0088734B">
    <w:pPr>
      <w:pStyle w:val="Footer"/>
      <w:rPr>
        <w:rFonts w:ascii="Proxima Nova" w:hAnsi="Proxima Nova"/>
        <w:color w:val="76717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9FE0" w14:textId="77777777" w:rsidR="001C4AC7" w:rsidRDefault="001C4AC7" w:rsidP="00585059">
      <w:r>
        <w:separator/>
      </w:r>
    </w:p>
  </w:footnote>
  <w:footnote w:type="continuationSeparator" w:id="0">
    <w:p w14:paraId="5B9C9718" w14:textId="77777777" w:rsidR="001C4AC7" w:rsidRDefault="001C4AC7" w:rsidP="0058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33E7" w14:textId="77777777" w:rsidR="009B27EB" w:rsidRDefault="00DD0D0B">
    <w:pPr>
      <w:pStyle w:val="Header"/>
    </w:pPr>
    <w:r>
      <w:rPr>
        <w:noProof/>
        <w:lang w:val="nl-NL" w:eastAsia="nl-NL"/>
      </w:rPr>
      <w:drawing>
        <wp:anchor distT="0" distB="0" distL="114300" distR="114300" simplePos="0" relativeHeight="251657216" behindDoc="1" locked="0" layoutInCell="1" allowOverlap="1" wp14:anchorId="36506D55" wp14:editId="467F2647">
          <wp:simplePos x="0" y="0"/>
          <wp:positionH relativeFrom="column">
            <wp:posOffset>5906135</wp:posOffset>
          </wp:positionH>
          <wp:positionV relativeFrom="paragraph">
            <wp:posOffset>374015</wp:posOffset>
          </wp:positionV>
          <wp:extent cx="330200" cy="330200"/>
          <wp:effectExtent l="0" t="0" r="0" b="0"/>
          <wp:wrapNone/>
          <wp:docPr id="2" name="Graphic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Graphic 509"/>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127" distL="114300" distR="115189" simplePos="0" relativeHeight="251656192" behindDoc="1" locked="0" layoutInCell="1" allowOverlap="1" wp14:anchorId="16EC47D0" wp14:editId="018BBE20">
          <wp:simplePos x="0" y="0"/>
          <wp:positionH relativeFrom="column">
            <wp:posOffset>-496570</wp:posOffset>
          </wp:positionH>
          <wp:positionV relativeFrom="paragraph">
            <wp:posOffset>386715</wp:posOffset>
          </wp:positionV>
          <wp:extent cx="1486281" cy="712978"/>
          <wp:effectExtent l="0" t="0" r="0" b="0"/>
          <wp:wrapNone/>
          <wp:docPr id="3" name="Graphic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Graphic 510"/>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146C" w14:textId="77777777" w:rsidR="002A10EF" w:rsidRDefault="00DD0D0B" w:rsidP="009370FF">
    <w:pPr>
      <w:pStyle w:val="Header"/>
      <w:tabs>
        <w:tab w:val="clear" w:pos="9026"/>
      </w:tabs>
      <w:ind w:left="-1418"/>
    </w:pPr>
    <w:r>
      <w:rPr>
        <w:noProof/>
        <w:lang w:val="nl-NL" w:eastAsia="nl-NL"/>
      </w:rPr>
      <w:drawing>
        <wp:anchor distT="0" distB="0" distL="114300" distR="114300" simplePos="0" relativeHeight="251659264" behindDoc="1" locked="0" layoutInCell="1" allowOverlap="1" wp14:anchorId="690970A5" wp14:editId="2A334B6D">
          <wp:simplePos x="0" y="0"/>
          <wp:positionH relativeFrom="column">
            <wp:posOffset>5906135</wp:posOffset>
          </wp:positionH>
          <wp:positionV relativeFrom="paragraph">
            <wp:posOffset>374015</wp:posOffset>
          </wp:positionV>
          <wp:extent cx="330200" cy="330200"/>
          <wp:effectExtent l="0" t="0" r="0" b="0"/>
          <wp:wrapNone/>
          <wp:docPr id="5" name="Graphic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Graphic 511"/>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127" distL="114300" distR="115189" simplePos="0" relativeHeight="251658240" behindDoc="1" locked="0" layoutInCell="1" allowOverlap="1" wp14:anchorId="0CE15F9B" wp14:editId="3D1D69F7">
          <wp:simplePos x="0" y="0"/>
          <wp:positionH relativeFrom="column">
            <wp:posOffset>-496570</wp:posOffset>
          </wp:positionH>
          <wp:positionV relativeFrom="paragraph">
            <wp:posOffset>386715</wp:posOffset>
          </wp:positionV>
          <wp:extent cx="1486281" cy="712978"/>
          <wp:effectExtent l="0" t="0" r="0" b="0"/>
          <wp:wrapNone/>
          <wp:docPr id="6" name="Graphic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Graphic 512"/>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5"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7537"/>
    </w:tblGrid>
    <w:tr w:rsidR="002A10EF" w14:paraId="1ED763C1" w14:textId="77777777" w:rsidTr="00AB46EA">
      <w:tc>
        <w:tcPr>
          <w:tcW w:w="4508" w:type="dxa"/>
          <w:tcBorders>
            <w:top w:val="nil"/>
            <w:left w:val="nil"/>
            <w:bottom w:val="nil"/>
            <w:right w:val="nil"/>
          </w:tcBorders>
          <w:shd w:val="clear" w:color="auto" w:fill="auto"/>
        </w:tcPr>
        <w:p w14:paraId="00AE2468" w14:textId="77777777" w:rsidR="002A10EF" w:rsidRPr="00AB46EA" w:rsidRDefault="002A10EF" w:rsidP="00A4223A">
          <w:pPr>
            <w:pStyle w:val="Header"/>
          </w:pPr>
        </w:p>
      </w:tc>
      <w:tc>
        <w:tcPr>
          <w:tcW w:w="7537" w:type="dxa"/>
          <w:tcBorders>
            <w:top w:val="nil"/>
            <w:left w:val="nil"/>
            <w:bottom w:val="nil"/>
            <w:right w:val="nil"/>
          </w:tcBorders>
          <w:shd w:val="clear" w:color="auto" w:fill="auto"/>
        </w:tcPr>
        <w:p w14:paraId="33B76CD8" w14:textId="77777777" w:rsidR="002A10EF" w:rsidRPr="00AB46EA" w:rsidRDefault="002A10EF" w:rsidP="00A4223A">
          <w:pPr>
            <w:pStyle w:val="Header"/>
          </w:pPr>
        </w:p>
      </w:tc>
    </w:tr>
  </w:tbl>
  <w:p w14:paraId="481A9474" w14:textId="77777777" w:rsidR="002A10EF" w:rsidRDefault="00DD0D0B" w:rsidP="00A4223A">
    <w:pPr>
      <w:pStyle w:val="Header"/>
      <w:ind w:left="-1418"/>
    </w:pPr>
    <w:r>
      <w:rPr>
        <w:noProof/>
        <w:lang w:val="nl-NL" w:eastAsia="nl-NL"/>
      </w:rPr>
      <w:drawing>
        <wp:anchor distT="0" distB="127" distL="114300" distR="115189" simplePos="0" relativeHeight="251653120" behindDoc="1" locked="0" layoutInCell="1" allowOverlap="1" wp14:anchorId="3A1D5DEE" wp14:editId="13A94117">
          <wp:simplePos x="0" y="0"/>
          <wp:positionH relativeFrom="column">
            <wp:posOffset>-494030</wp:posOffset>
          </wp:positionH>
          <wp:positionV relativeFrom="paragraph">
            <wp:posOffset>194310</wp:posOffset>
          </wp:positionV>
          <wp:extent cx="1486281" cy="712978"/>
          <wp:effectExtent l="0" t="0" r="0" b="0"/>
          <wp:wrapNone/>
          <wp:docPr id="8" name="Graphic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Graphic 515"/>
                  <pic:cNvPicPr/>
                </pic:nvPicPr>
                <pic:blipFill>
                  <a:blip r:embed="rId1"/>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55168" behindDoc="1" locked="0" layoutInCell="1" allowOverlap="1" wp14:anchorId="5F32C9B9" wp14:editId="3A71AB27">
          <wp:simplePos x="0" y="0"/>
          <wp:positionH relativeFrom="column">
            <wp:posOffset>5909945</wp:posOffset>
          </wp:positionH>
          <wp:positionV relativeFrom="paragraph">
            <wp:posOffset>181610</wp:posOffset>
          </wp:positionV>
          <wp:extent cx="330200" cy="330200"/>
          <wp:effectExtent l="0" t="0" r="0" b="0"/>
          <wp:wrapNone/>
          <wp:docPr id="9" name="Graphic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Graphic 516"/>
                  <pic:cNvPicPr/>
                </pic:nvPicPr>
                <pic:blipFill>
                  <a:blip r:embed="rId2"/>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D27"/>
    <w:multiLevelType w:val="hybridMultilevel"/>
    <w:tmpl w:val="19E6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10164"/>
    <w:multiLevelType w:val="hybridMultilevel"/>
    <w:tmpl w:val="5FCC727E"/>
    <w:lvl w:ilvl="0" w:tplc="D1844DC8">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717A1"/>
    <w:multiLevelType w:val="multilevel"/>
    <w:tmpl w:val="67BE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65302"/>
    <w:multiLevelType w:val="multilevel"/>
    <w:tmpl w:val="91E4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E6681"/>
    <w:multiLevelType w:val="hybridMultilevel"/>
    <w:tmpl w:val="259675F4"/>
    <w:lvl w:ilvl="0" w:tplc="140C4D90">
      <w:start w:val="2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41E09"/>
    <w:multiLevelType w:val="hybridMultilevel"/>
    <w:tmpl w:val="06402F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1588E"/>
    <w:multiLevelType w:val="hybridMultilevel"/>
    <w:tmpl w:val="309669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16C6A"/>
    <w:multiLevelType w:val="multilevel"/>
    <w:tmpl w:val="F58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6494D"/>
    <w:multiLevelType w:val="hybridMultilevel"/>
    <w:tmpl w:val="B48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B6AD0"/>
    <w:multiLevelType w:val="hybridMultilevel"/>
    <w:tmpl w:val="EAB0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B0CF7"/>
    <w:multiLevelType w:val="hybridMultilevel"/>
    <w:tmpl w:val="3FE24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721F4C"/>
    <w:multiLevelType w:val="multilevel"/>
    <w:tmpl w:val="DABAA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866F5B"/>
    <w:multiLevelType w:val="multilevel"/>
    <w:tmpl w:val="9EF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CF20AB"/>
    <w:multiLevelType w:val="multilevel"/>
    <w:tmpl w:val="05C2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CC376E"/>
    <w:multiLevelType w:val="hybridMultilevel"/>
    <w:tmpl w:val="9F9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0F45CA"/>
    <w:multiLevelType w:val="hybridMultilevel"/>
    <w:tmpl w:val="9F1A52FE"/>
    <w:lvl w:ilvl="0" w:tplc="EE0AB59C">
      <w:start w:val="1"/>
      <w:numFmt w:val="decimal"/>
      <w:lvlText w:val="%1."/>
      <w:lvlJc w:val="left"/>
      <w:pPr>
        <w:ind w:left="720" w:hanging="360"/>
      </w:pPr>
      <w:rPr>
        <w:rFonts w:ascii="Arial" w:eastAsia="Arial" w:hAnsi="Arial" w:cs="Arial" w:hint="default"/>
        <w:b/>
        <w:color w:val="333399"/>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8"/>
  </w:num>
  <w:num w:numId="5">
    <w:abstractNumId w:val="1"/>
  </w:num>
  <w:num w:numId="6">
    <w:abstractNumId w:val="7"/>
  </w:num>
  <w:num w:numId="7">
    <w:abstractNumId w:val="4"/>
  </w:num>
  <w:num w:numId="8">
    <w:abstractNumId w:val="9"/>
  </w:num>
  <w:num w:numId="9">
    <w:abstractNumId w:val="10"/>
  </w:num>
  <w:num w:numId="10">
    <w:abstractNumId w:val="5"/>
  </w:num>
  <w:num w:numId="11">
    <w:abstractNumId w:val="0"/>
  </w:num>
  <w:num w:numId="12">
    <w:abstractNumId w:val="6"/>
  </w:num>
  <w:num w:numId="13">
    <w:abstractNumId w:val="15"/>
  </w:num>
  <w:num w:numId="14">
    <w:abstractNumId w:val="1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4B"/>
    <w:rsid w:val="00000A8F"/>
    <w:rsid w:val="0000263B"/>
    <w:rsid w:val="000027B2"/>
    <w:rsid w:val="00005DB6"/>
    <w:rsid w:val="00006D58"/>
    <w:rsid w:val="00007197"/>
    <w:rsid w:val="0001202E"/>
    <w:rsid w:val="00014B20"/>
    <w:rsid w:val="000165AA"/>
    <w:rsid w:val="00016860"/>
    <w:rsid w:val="00020FD5"/>
    <w:rsid w:val="0002218D"/>
    <w:rsid w:val="00023143"/>
    <w:rsid w:val="0002464A"/>
    <w:rsid w:val="0002524C"/>
    <w:rsid w:val="000269E2"/>
    <w:rsid w:val="0002727C"/>
    <w:rsid w:val="00027891"/>
    <w:rsid w:val="00027C2B"/>
    <w:rsid w:val="00032405"/>
    <w:rsid w:val="00033A89"/>
    <w:rsid w:val="00035B9B"/>
    <w:rsid w:val="00036872"/>
    <w:rsid w:val="00037E86"/>
    <w:rsid w:val="00040BE4"/>
    <w:rsid w:val="00044A31"/>
    <w:rsid w:val="00044AE9"/>
    <w:rsid w:val="00044F4D"/>
    <w:rsid w:val="00047FEF"/>
    <w:rsid w:val="000537AC"/>
    <w:rsid w:val="000612C4"/>
    <w:rsid w:val="00062535"/>
    <w:rsid w:val="00062EA6"/>
    <w:rsid w:val="000643AB"/>
    <w:rsid w:val="000645B5"/>
    <w:rsid w:val="0006479C"/>
    <w:rsid w:val="000669EC"/>
    <w:rsid w:val="000679AF"/>
    <w:rsid w:val="00070FE0"/>
    <w:rsid w:val="0007283D"/>
    <w:rsid w:val="00075603"/>
    <w:rsid w:val="00076DFE"/>
    <w:rsid w:val="0007738E"/>
    <w:rsid w:val="000801BC"/>
    <w:rsid w:val="000820A6"/>
    <w:rsid w:val="000828C8"/>
    <w:rsid w:val="00083B82"/>
    <w:rsid w:val="0008444B"/>
    <w:rsid w:val="00086436"/>
    <w:rsid w:val="00090C49"/>
    <w:rsid w:val="0009391A"/>
    <w:rsid w:val="00094378"/>
    <w:rsid w:val="000A0859"/>
    <w:rsid w:val="000A1E72"/>
    <w:rsid w:val="000A3C73"/>
    <w:rsid w:val="000A4E39"/>
    <w:rsid w:val="000A7FAC"/>
    <w:rsid w:val="000B1DA3"/>
    <w:rsid w:val="000B349D"/>
    <w:rsid w:val="000B3547"/>
    <w:rsid w:val="000B41EB"/>
    <w:rsid w:val="000B4C6D"/>
    <w:rsid w:val="000B63E6"/>
    <w:rsid w:val="000C129F"/>
    <w:rsid w:val="000C2550"/>
    <w:rsid w:val="000D0822"/>
    <w:rsid w:val="000D09F1"/>
    <w:rsid w:val="000D0C48"/>
    <w:rsid w:val="000D2098"/>
    <w:rsid w:val="000D2EEE"/>
    <w:rsid w:val="000D53FC"/>
    <w:rsid w:val="000D5D54"/>
    <w:rsid w:val="000D6E84"/>
    <w:rsid w:val="000D7ED6"/>
    <w:rsid w:val="000E002D"/>
    <w:rsid w:val="000E0747"/>
    <w:rsid w:val="000E0D19"/>
    <w:rsid w:val="000E166F"/>
    <w:rsid w:val="000E4981"/>
    <w:rsid w:val="000E4F8E"/>
    <w:rsid w:val="000E70A7"/>
    <w:rsid w:val="000E7838"/>
    <w:rsid w:val="000F2416"/>
    <w:rsid w:val="000F2C64"/>
    <w:rsid w:val="000F3C76"/>
    <w:rsid w:val="000F5F86"/>
    <w:rsid w:val="000F7A66"/>
    <w:rsid w:val="001009AC"/>
    <w:rsid w:val="001034C5"/>
    <w:rsid w:val="00104E25"/>
    <w:rsid w:val="001066D6"/>
    <w:rsid w:val="001079E2"/>
    <w:rsid w:val="00107EDC"/>
    <w:rsid w:val="00110197"/>
    <w:rsid w:val="00110A8B"/>
    <w:rsid w:val="00111ACE"/>
    <w:rsid w:val="001143FB"/>
    <w:rsid w:val="0011594B"/>
    <w:rsid w:val="001226B6"/>
    <w:rsid w:val="00125002"/>
    <w:rsid w:val="001301F1"/>
    <w:rsid w:val="00131A26"/>
    <w:rsid w:val="00132DF2"/>
    <w:rsid w:val="001335AB"/>
    <w:rsid w:val="001363C7"/>
    <w:rsid w:val="00140722"/>
    <w:rsid w:val="0015182E"/>
    <w:rsid w:val="001528B1"/>
    <w:rsid w:val="00153698"/>
    <w:rsid w:val="001545AB"/>
    <w:rsid w:val="00155F52"/>
    <w:rsid w:val="00161A65"/>
    <w:rsid w:val="00163490"/>
    <w:rsid w:val="0016466D"/>
    <w:rsid w:val="00165E9C"/>
    <w:rsid w:val="00166852"/>
    <w:rsid w:val="001716EC"/>
    <w:rsid w:val="00173461"/>
    <w:rsid w:val="001745D5"/>
    <w:rsid w:val="00175589"/>
    <w:rsid w:val="001806B8"/>
    <w:rsid w:val="00181D08"/>
    <w:rsid w:val="0018319D"/>
    <w:rsid w:val="001900FB"/>
    <w:rsid w:val="00190182"/>
    <w:rsid w:val="001906EE"/>
    <w:rsid w:val="001908F9"/>
    <w:rsid w:val="00190EA5"/>
    <w:rsid w:val="00192C87"/>
    <w:rsid w:val="00192E7B"/>
    <w:rsid w:val="001A0799"/>
    <w:rsid w:val="001A113F"/>
    <w:rsid w:val="001A1337"/>
    <w:rsid w:val="001A2375"/>
    <w:rsid w:val="001A3347"/>
    <w:rsid w:val="001A6139"/>
    <w:rsid w:val="001B21A4"/>
    <w:rsid w:val="001C1662"/>
    <w:rsid w:val="001C229F"/>
    <w:rsid w:val="001C4AC7"/>
    <w:rsid w:val="001C63B5"/>
    <w:rsid w:val="001C63C3"/>
    <w:rsid w:val="001C75C1"/>
    <w:rsid w:val="001C7FBE"/>
    <w:rsid w:val="001D3A54"/>
    <w:rsid w:val="001D55BE"/>
    <w:rsid w:val="001D6D07"/>
    <w:rsid w:val="001E164A"/>
    <w:rsid w:val="001E17BB"/>
    <w:rsid w:val="001E19B6"/>
    <w:rsid w:val="001E1F40"/>
    <w:rsid w:val="001E2CB3"/>
    <w:rsid w:val="001E416A"/>
    <w:rsid w:val="001E759A"/>
    <w:rsid w:val="001F2CE1"/>
    <w:rsid w:val="001F399A"/>
    <w:rsid w:val="001F4086"/>
    <w:rsid w:val="001F5E96"/>
    <w:rsid w:val="001F637B"/>
    <w:rsid w:val="001F7E49"/>
    <w:rsid w:val="002065DD"/>
    <w:rsid w:val="002130D9"/>
    <w:rsid w:val="0021491D"/>
    <w:rsid w:val="0021787C"/>
    <w:rsid w:val="002220D8"/>
    <w:rsid w:val="002220F0"/>
    <w:rsid w:val="002246B0"/>
    <w:rsid w:val="0022490E"/>
    <w:rsid w:val="0022690E"/>
    <w:rsid w:val="00232556"/>
    <w:rsid w:val="002341E9"/>
    <w:rsid w:val="002342C9"/>
    <w:rsid w:val="00235A86"/>
    <w:rsid w:val="002369BB"/>
    <w:rsid w:val="0023746B"/>
    <w:rsid w:val="00240ACF"/>
    <w:rsid w:val="00241C82"/>
    <w:rsid w:val="0024309D"/>
    <w:rsid w:val="002446B5"/>
    <w:rsid w:val="002453F2"/>
    <w:rsid w:val="00245D35"/>
    <w:rsid w:val="00246499"/>
    <w:rsid w:val="002465FA"/>
    <w:rsid w:val="0024707F"/>
    <w:rsid w:val="002514C0"/>
    <w:rsid w:val="00254616"/>
    <w:rsid w:val="0025473C"/>
    <w:rsid w:val="00255B0D"/>
    <w:rsid w:val="00255DAB"/>
    <w:rsid w:val="00256139"/>
    <w:rsid w:val="00256AE8"/>
    <w:rsid w:val="00256F2F"/>
    <w:rsid w:val="00257B39"/>
    <w:rsid w:val="002604D7"/>
    <w:rsid w:val="00260A67"/>
    <w:rsid w:val="00260CF9"/>
    <w:rsid w:val="00262DAE"/>
    <w:rsid w:val="0026317E"/>
    <w:rsid w:val="00264CEC"/>
    <w:rsid w:val="002668A1"/>
    <w:rsid w:val="00266CB2"/>
    <w:rsid w:val="00272B85"/>
    <w:rsid w:val="00274BBA"/>
    <w:rsid w:val="0027626A"/>
    <w:rsid w:val="00282701"/>
    <w:rsid w:val="002873FA"/>
    <w:rsid w:val="00287563"/>
    <w:rsid w:val="00287B10"/>
    <w:rsid w:val="00287CE4"/>
    <w:rsid w:val="00290956"/>
    <w:rsid w:val="00292BD3"/>
    <w:rsid w:val="00293530"/>
    <w:rsid w:val="00297786"/>
    <w:rsid w:val="002A03C9"/>
    <w:rsid w:val="002A0AC6"/>
    <w:rsid w:val="002A10EF"/>
    <w:rsid w:val="002A1142"/>
    <w:rsid w:val="002A159F"/>
    <w:rsid w:val="002A1915"/>
    <w:rsid w:val="002A3D60"/>
    <w:rsid w:val="002A7830"/>
    <w:rsid w:val="002B0F55"/>
    <w:rsid w:val="002B219B"/>
    <w:rsid w:val="002B2FF3"/>
    <w:rsid w:val="002B33D2"/>
    <w:rsid w:val="002B3763"/>
    <w:rsid w:val="002B4C03"/>
    <w:rsid w:val="002B7647"/>
    <w:rsid w:val="002C076E"/>
    <w:rsid w:val="002C1D3A"/>
    <w:rsid w:val="002C2500"/>
    <w:rsid w:val="002C50A0"/>
    <w:rsid w:val="002C51D2"/>
    <w:rsid w:val="002D51D7"/>
    <w:rsid w:val="002D616E"/>
    <w:rsid w:val="002E169D"/>
    <w:rsid w:val="002E443C"/>
    <w:rsid w:val="002F0861"/>
    <w:rsid w:val="002F1AB2"/>
    <w:rsid w:val="002F36E9"/>
    <w:rsid w:val="002F426B"/>
    <w:rsid w:val="002F6781"/>
    <w:rsid w:val="00300FC7"/>
    <w:rsid w:val="00304592"/>
    <w:rsid w:val="003052A9"/>
    <w:rsid w:val="0031355B"/>
    <w:rsid w:val="0031443F"/>
    <w:rsid w:val="003146CF"/>
    <w:rsid w:val="00316C31"/>
    <w:rsid w:val="00322304"/>
    <w:rsid w:val="003239E8"/>
    <w:rsid w:val="00325952"/>
    <w:rsid w:val="0033087C"/>
    <w:rsid w:val="00330913"/>
    <w:rsid w:val="00332D43"/>
    <w:rsid w:val="0033335E"/>
    <w:rsid w:val="00335FC4"/>
    <w:rsid w:val="00340464"/>
    <w:rsid w:val="00340DE0"/>
    <w:rsid w:val="0034194A"/>
    <w:rsid w:val="003426F5"/>
    <w:rsid w:val="00343692"/>
    <w:rsid w:val="00344331"/>
    <w:rsid w:val="0034463B"/>
    <w:rsid w:val="0034518A"/>
    <w:rsid w:val="00346AA9"/>
    <w:rsid w:val="003472D0"/>
    <w:rsid w:val="00347399"/>
    <w:rsid w:val="00351950"/>
    <w:rsid w:val="00352023"/>
    <w:rsid w:val="003526B6"/>
    <w:rsid w:val="0035299B"/>
    <w:rsid w:val="00354B48"/>
    <w:rsid w:val="003553F5"/>
    <w:rsid w:val="00356102"/>
    <w:rsid w:val="00356BC8"/>
    <w:rsid w:val="00356CFF"/>
    <w:rsid w:val="00357016"/>
    <w:rsid w:val="00357D5A"/>
    <w:rsid w:val="0036032F"/>
    <w:rsid w:val="003607CD"/>
    <w:rsid w:val="003620B0"/>
    <w:rsid w:val="00362240"/>
    <w:rsid w:val="003643BB"/>
    <w:rsid w:val="00364FA5"/>
    <w:rsid w:val="00365D74"/>
    <w:rsid w:val="00365E55"/>
    <w:rsid w:val="003661FC"/>
    <w:rsid w:val="003663D1"/>
    <w:rsid w:val="003707B1"/>
    <w:rsid w:val="0037298A"/>
    <w:rsid w:val="00373FC4"/>
    <w:rsid w:val="00376108"/>
    <w:rsid w:val="003761FC"/>
    <w:rsid w:val="00376655"/>
    <w:rsid w:val="00377A97"/>
    <w:rsid w:val="00381188"/>
    <w:rsid w:val="00381504"/>
    <w:rsid w:val="0038628B"/>
    <w:rsid w:val="00386FD9"/>
    <w:rsid w:val="00387513"/>
    <w:rsid w:val="00395487"/>
    <w:rsid w:val="00395799"/>
    <w:rsid w:val="003972D9"/>
    <w:rsid w:val="003A0846"/>
    <w:rsid w:val="003A08F5"/>
    <w:rsid w:val="003A4D4C"/>
    <w:rsid w:val="003A5D6D"/>
    <w:rsid w:val="003A6634"/>
    <w:rsid w:val="003B02C4"/>
    <w:rsid w:val="003B38DC"/>
    <w:rsid w:val="003B3C0F"/>
    <w:rsid w:val="003B58EB"/>
    <w:rsid w:val="003B611B"/>
    <w:rsid w:val="003B68B0"/>
    <w:rsid w:val="003B6B82"/>
    <w:rsid w:val="003C06E4"/>
    <w:rsid w:val="003C1033"/>
    <w:rsid w:val="003C34E4"/>
    <w:rsid w:val="003C55FE"/>
    <w:rsid w:val="003C60C1"/>
    <w:rsid w:val="003C7F2D"/>
    <w:rsid w:val="003D0ED0"/>
    <w:rsid w:val="003D126F"/>
    <w:rsid w:val="003D3648"/>
    <w:rsid w:val="003D4318"/>
    <w:rsid w:val="003D52F9"/>
    <w:rsid w:val="003E0810"/>
    <w:rsid w:val="003E4543"/>
    <w:rsid w:val="003E5BB3"/>
    <w:rsid w:val="003E622C"/>
    <w:rsid w:val="003E781D"/>
    <w:rsid w:val="003E7AB3"/>
    <w:rsid w:val="003F6B4A"/>
    <w:rsid w:val="0040032A"/>
    <w:rsid w:val="004019F9"/>
    <w:rsid w:val="00401E97"/>
    <w:rsid w:val="00403529"/>
    <w:rsid w:val="00403710"/>
    <w:rsid w:val="0040484C"/>
    <w:rsid w:val="0041271C"/>
    <w:rsid w:val="004129EE"/>
    <w:rsid w:val="00413E5D"/>
    <w:rsid w:val="00415A4B"/>
    <w:rsid w:val="004165B1"/>
    <w:rsid w:val="0042007F"/>
    <w:rsid w:val="00424042"/>
    <w:rsid w:val="00424685"/>
    <w:rsid w:val="00424E10"/>
    <w:rsid w:val="00426720"/>
    <w:rsid w:val="0042739A"/>
    <w:rsid w:val="00436953"/>
    <w:rsid w:val="00436B6F"/>
    <w:rsid w:val="00441342"/>
    <w:rsid w:val="0044170B"/>
    <w:rsid w:val="00441BF0"/>
    <w:rsid w:val="00443C60"/>
    <w:rsid w:val="00443D2D"/>
    <w:rsid w:val="00444478"/>
    <w:rsid w:val="00446343"/>
    <w:rsid w:val="00446C82"/>
    <w:rsid w:val="00447BFD"/>
    <w:rsid w:val="004505A2"/>
    <w:rsid w:val="00452377"/>
    <w:rsid w:val="00452395"/>
    <w:rsid w:val="00454098"/>
    <w:rsid w:val="004546BA"/>
    <w:rsid w:val="00461222"/>
    <w:rsid w:val="004614B3"/>
    <w:rsid w:val="0046209D"/>
    <w:rsid w:val="00463897"/>
    <w:rsid w:val="00463D55"/>
    <w:rsid w:val="00464599"/>
    <w:rsid w:val="00465467"/>
    <w:rsid w:val="004663F2"/>
    <w:rsid w:val="00470D03"/>
    <w:rsid w:val="00471A0C"/>
    <w:rsid w:val="00475253"/>
    <w:rsid w:val="00475CF9"/>
    <w:rsid w:val="00476540"/>
    <w:rsid w:val="004768A2"/>
    <w:rsid w:val="0048466D"/>
    <w:rsid w:val="00485307"/>
    <w:rsid w:val="00487474"/>
    <w:rsid w:val="00487611"/>
    <w:rsid w:val="00491A4E"/>
    <w:rsid w:val="0049336F"/>
    <w:rsid w:val="0049435B"/>
    <w:rsid w:val="00496025"/>
    <w:rsid w:val="00496AF5"/>
    <w:rsid w:val="004A04F7"/>
    <w:rsid w:val="004A0B66"/>
    <w:rsid w:val="004A1B16"/>
    <w:rsid w:val="004A2CBF"/>
    <w:rsid w:val="004A4721"/>
    <w:rsid w:val="004A6624"/>
    <w:rsid w:val="004A7DDE"/>
    <w:rsid w:val="004B00F3"/>
    <w:rsid w:val="004B41D1"/>
    <w:rsid w:val="004B44CA"/>
    <w:rsid w:val="004B4A4D"/>
    <w:rsid w:val="004B4F19"/>
    <w:rsid w:val="004B6288"/>
    <w:rsid w:val="004B6C7D"/>
    <w:rsid w:val="004B7DFF"/>
    <w:rsid w:val="004C1869"/>
    <w:rsid w:val="004C323A"/>
    <w:rsid w:val="004C5989"/>
    <w:rsid w:val="004C658C"/>
    <w:rsid w:val="004C7515"/>
    <w:rsid w:val="004C7A2E"/>
    <w:rsid w:val="004C7FB5"/>
    <w:rsid w:val="004D0555"/>
    <w:rsid w:val="004D14EB"/>
    <w:rsid w:val="004D1585"/>
    <w:rsid w:val="004D6257"/>
    <w:rsid w:val="004E08E9"/>
    <w:rsid w:val="004E2849"/>
    <w:rsid w:val="004E5D6D"/>
    <w:rsid w:val="004E6C2A"/>
    <w:rsid w:val="004E6F6C"/>
    <w:rsid w:val="004F046F"/>
    <w:rsid w:val="004F2AF5"/>
    <w:rsid w:val="004F52A0"/>
    <w:rsid w:val="004F6DCF"/>
    <w:rsid w:val="004F73E0"/>
    <w:rsid w:val="0050005C"/>
    <w:rsid w:val="005002C9"/>
    <w:rsid w:val="00501C4F"/>
    <w:rsid w:val="00502461"/>
    <w:rsid w:val="005025C6"/>
    <w:rsid w:val="00502FB2"/>
    <w:rsid w:val="005051FD"/>
    <w:rsid w:val="005052EE"/>
    <w:rsid w:val="0050595C"/>
    <w:rsid w:val="00507D2B"/>
    <w:rsid w:val="00512CD3"/>
    <w:rsid w:val="005134BA"/>
    <w:rsid w:val="00515DA7"/>
    <w:rsid w:val="005166BE"/>
    <w:rsid w:val="00517782"/>
    <w:rsid w:val="005210B0"/>
    <w:rsid w:val="00522C7C"/>
    <w:rsid w:val="005245A6"/>
    <w:rsid w:val="005260BC"/>
    <w:rsid w:val="00526296"/>
    <w:rsid w:val="00530E12"/>
    <w:rsid w:val="005310DE"/>
    <w:rsid w:val="005345B9"/>
    <w:rsid w:val="0053538B"/>
    <w:rsid w:val="00536141"/>
    <w:rsid w:val="00537383"/>
    <w:rsid w:val="00537915"/>
    <w:rsid w:val="00537B4E"/>
    <w:rsid w:val="00540F35"/>
    <w:rsid w:val="0054158C"/>
    <w:rsid w:val="00541F1C"/>
    <w:rsid w:val="00542238"/>
    <w:rsid w:val="00546622"/>
    <w:rsid w:val="00547764"/>
    <w:rsid w:val="00551986"/>
    <w:rsid w:val="00552B40"/>
    <w:rsid w:val="00553733"/>
    <w:rsid w:val="005540F6"/>
    <w:rsid w:val="005560F2"/>
    <w:rsid w:val="00561BDA"/>
    <w:rsid w:val="00562F6B"/>
    <w:rsid w:val="0056640F"/>
    <w:rsid w:val="00566ECD"/>
    <w:rsid w:val="00573AAA"/>
    <w:rsid w:val="00573B28"/>
    <w:rsid w:val="00574AE4"/>
    <w:rsid w:val="0057526B"/>
    <w:rsid w:val="005759A3"/>
    <w:rsid w:val="0057602C"/>
    <w:rsid w:val="00576CC5"/>
    <w:rsid w:val="005813F8"/>
    <w:rsid w:val="005814AA"/>
    <w:rsid w:val="00581A86"/>
    <w:rsid w:val="0058245F"/>
    <w:rsid w:val="0058445A"/>
    <w:rsid w:val="0058463A"/>
    <w:rsid w:val="00585059"/>
    <w:rsid w:val="00585B5B"/>
    <w:rsid w:val="00586B34"/>
    <w:rsid w:val="00587463"/>
    <w:rsid w:val="00587F30"/>
    <w:rsid w:val="00593AD0"/>
    <w:rsid w:val="0059424F"/>
    <w:rsid w:val="00595768"/>
    <w:rsid w:val="005967A3"/>
    <w:rsid w:val="00597A52"/>
    <w:rsid w:val="00597D27"/>
    <w:rsid w:val="005A0D76"/>
    <w:rsid w:val="005A2012"/>
    <w:rsid w:val="005A2D10"/>
    <w:rsid w:val="005A6969"/>
    <w:rsid w:val="005A761D"/>
    <w:rsid w:val="005B2185"/>
    <w:rsid w:val="005B251D"/>
    <w:rsid w:val="005B5460"/>
    <w:rsid w:val="005B5F2A"/>
    <w:rsid w:val="005C0939"/>
    <w:rsid w:val="005C2E02"/>
    <w:rsid w:val="005C480D"/>
    <w:rsid w:val="005C62CE"/>
    <w:rsid w:val="005C75A1"/>
    <w:rsid w:val="005C7E78"/>
    <w:rsid w:val="005D0D8C"/>
    <w:rsid w:val="005D64AF"/>
    <w:rsid w:val="005D6774"/>
    <w:rsid w:val="005D7DC1"/>
    <w:rsid w:val="005D7FED"/>
    <w:rsid w:val="005E2184"/>
    <w:rsid w:val="005E2F62"/>
    <w:rsid w:val="005E418D"/>
    <w:rsid w:val="005E5A0B"/>
    <w:rsid w:val="005E7CC5"/>
    <w:rsid w:val="005F0017"/>
    <w:rsid w:val="005F333B"/>
    <w:rsid w:val="005F3956"/>
    <w:rsid w:val="005F5885"/>
    <w:rsid w:val="005F5A37"/>
    <w:rsid w:val="00600346"/>
    <w:rsid w:val="00600DC3"/>
    <w:rsid w:val="00602941"/>
    <w:rsid w:val="006046BD"/>
    <w:rsid w:val="006051A8"/>
    <w:rsid w:val="00606C6E"/>
    <w:rsid w:val="00611CCD"/>
    <w:rsid w:val="00612014"/>
    <w:rsid w:val="00612985"/>
    <w:rsid w:val="00615E2C"/>
    <w:rsid w:val="00617DD0"/>
    <w:rsid w:val="0062094A"/>
    <w:rsid w:val="0062100E"/>
    <w:rsid w:val="00622D9B"/>
    <w:rsid w:val="0062745D"/>
    <w:rsid w:val="0062770E"/>
    <w:rsid w:val="00627948"/>
    <w:rsid w:val="0063174A"/>
    <w:rsid w:val="00633929"/>
    <w:rsid w:val="00634BD4"/>
    <w:rsid w:val="0063526A"/>
    <w:rsid w:val="0063597C"/>
    <w:rsid w:val="00640AEB"/>
    <w:rsid w:val="006420FC"/>
    <w:rsid w:val="0064436C"/>
    <w:rsid w:val="00645DD5"/>
    <w:rsid w:val="00645EDA"/>
    <w:rsid w:val="006464C7"/>
    <w:rsid w:val="00647D70"/>
    <w:rsid w:val="00647D84"/>
    <w:rsid w:val="00652488"/>
    <w:rsid w:val="00652BD3"/>
    <w:rsid w:val="00653318"/>
    <w:rsid w:val="00653679"/>
    <w:rsid w:val="006539F8"/>
    <w:rsid w:val="0065415B"/>
    <w:rsid w:val="00655626"/>
    <w:rsid w:val="006567D7"/>
    <w:rsid w:val="0066038D"/>
    <w:rsid w:val="006615EB"/>
    <w:rsid w:val="00661639"/>
    <w:rsid w:val="006619C7"/>
    <w:rsid w:val="00661A13"/>
    <w:rsid w:val="00663C38"/>
    <w:rsid w:val="00667C4E"/>
    <w:rsid w:val="00670AFD"/>
    <w:rsid w:val="00674BFF"/>
    <w:rsid w:val="00675B55"/>
    <w:rsid w:val="00675DF1"/>
    <w:rsid w:val="00680003"/>
    <w:rsid w:val="00682BE8"/>
    <w:rsid w:val="006837A8"/>
    <w:rsid w:val="006837C8"/>
    <w:rsid w:val="0068397D"/>
    <w:rsid w:val="00685D23"/>
    <w:rsid w:val="006877DF"/>
    <w:rsid w:val="00687F64"/>
    <w:rsid w:val="0069406F"/>
    <w:rsid w:val="00697672"/>
    <w:rsid w:val="006A14C8"/>
    <w:rsid w:val="006A4B1C"/>
    <w:rsid w:val="006A5161"/>
    <w:rsid w:val="006A7226"/>
    <w:rsid w:val="006B116F"/>
    <w:rsid w:val="006B30B3"/>
    <w:rsid w:val="006B3D7B"/>
    <w:rsid w:val="006B4BDB"/>
    <w:rsid w:val="006C1D0D"/>
    <w:rsid w:val="006C3DE0"/>
    <w:rsid w:val="006C43FB"/>
    <w:rsid w:val="006C596E"/>
    <w:rsid w:val="006D190A"/>
    <w:rsid w:val="006D1A5B"/>
    <w:rsid w:val="006D5E8F"/>
    <w:rsid w:val="006D5F31"/>
    <w:rsid w:val="006E12F9"/>
    <w:rsid w:val="006E1C04"/>
    <w:rsid w:val="006E3784"/>
    <w:rsid w:val="006E3E50"/>
    <w:rsid w:val="006E5845"/>
    <w:rsid w:val="006E5996"/>
    <w:rsid w:val="006E69C0"/>
    <w:rsid w:val="006F390D"/>
    <w:rsid w:val="006F5EA7"/>
    <w:rsid w:val="00700E19"/>
    <w:rsid w:val="007053BB"/>
    <w:rsid w:val="0070569C"/>
    <w:rsid w:val="00706825"/>
    <w:rsid w:val="00707061"/>
    <w:rsid w:val="007071D8"/>
    <w:rsid w:val="007108BD"/>
    <w:rsid w:val="00712C4B"/>
    <w:rsid w:val="007138D1"/>
    <w:rsid w:val="00713915"/>
    <w:rsid w:val="00715068"/>
    <w:rsid w:val="00715A06"/>
    <w:rsid w:val="00715CAD"/>
    <w:rsid w:val="00716A13"/>
    <w:rsid w:val="007177B6"/>
    <w:rsid w:val="007249E3"/>
    <w:rsid w:val="00726D16"/>
    <w:rsid w:val="00727481"/>
    <w:rsid w:val="00731C0E"/>
    <w:rsid w:val="007347BB"/>
    <w:rsid w:val="00735B12"/>
    <w:rsid w:val="00735D8A"/>
    <w:rsid w:val="0073620B"/>
    <w:rsid w:val="00737C86"/>
    <w:rsid w:val="00737E86"/>
    <w:rsid w:val="00744AB7"/>
    <w:rsid w:val="0074558B"/>
    <w:rsid w:val="00746AC2"/>
    <w:rsid w:val="007518DB"/>
    <w:rsid w:val="00752F09"/>
    <w:rsid w:val="00754F6C"/>
    <w:rsid w:val="007553BB"/>
    <w:rsid w:val="007565AC"/>
    <w:rsid w:val="00761806"/>
    <w:rsid w:val="007641BA"/>
    <w:rsid w:val="007654C5"/>
    <w:rsid w:val="00765D78"/>
    <w:rsid w:val="0076600B"/>
    <w:rsid w:val="00766710"/>
    <w:rsid w:val="007679D0"/>
    <w:rsid w:val="007712D5"/>
    <w:rsid w:val="00771302"/>
    <w:rsid w:val="00773D2D"/>
    <w:rsid w:val="007759CA"/>
    <w:rsid w:val="00777224"/>
    <w:rsid w:val="00777F0C"/>
    <w:rsid w:val="00780242"/>
    <w:rsid w:val="007807E7"/>
    <w:rsid w:val="00780DDC"/>
    <w:rsid w:val="00782F3C"/>
    <w:rsid w:val="00783B7E"/>
    <w:rsid w:val="007900C4"/>
    <w:rsid w:val="00790705"/>
    <w:rsid w:val="00790C75"/>
    <w:rsid w:val="00794D12"/>
    <w:rsid w:val="00796314"/>
    <w:rsid w:val="00796BA2"/>
    <w:rsid w:val="007A057D"/>
    <w:rsid w:val="007A1177"/>
    <w:rsid w:val="007A3CA7"/>
    <w:rsid w:val="007A6181"/>
    <w:rsid w:val="007B0A1D"/>
    <w:rsid w:val="007B13FC"/>
    <w:rsid w:val="007B3A71"/>
    <w:rsid w:val="007B5597"/>
    <w:rsid w:val="007B5DC9"/>
    <w:rsid w:val="007B6302"/>
    <w:rsid w:val="007B7E4F"/>
    <w:rsid w:val="007C0B2E"/>
    <w:rsid w:val="007C1A71"/>
    <w:rsid w:val="007C1ADA"/>
    <w:rsid w:val="007C4469"/>
    <w:rsid w:val="007C45D3"/>
    <w:rsid w:val="007D18F2"/>
    <w:rsid w:val="007D67DF"/>
    <w:rsid w:val="007E2E6D"/>
    <w:rsid w:val="007E3D1A"/>
    <w:rsid w:val="007E4797"/>
    <w:rsid w:val="007E5204"/>
    <w:rsid w:val="007E7013"/>
    <w:rsid w:val="007E71DF"/>
    <w:rsid w:val="007E7FDD"/>
    <w:rsid w:val="007F44F2"/>
    <w:rsid w:val="007F4AE0"/>
    <w:rsid w:val="007F4F13"/>
    <w:rsid w:val="007F5203"/>
    <w:rsid w:val="007F60A7"/>
    <w:rsid w:val="007F6412"/>
    <w:rsid w:val="007F7109"/>
    <w:rsid w:val="007F7291"/>
    <w:rsid w:val="00800116"/>
    <w:rsid w:val="00800988"/>
    <w:rsid w:val="00801C32"/>
    <w:rsid w:val="008045FF"/>
    <w:rsid w:val="00812128"/>
    <w:rsid w:val="00812985"/>
    <w:rsid w:val="00813059"/>
    <w:rsid w:val="00814075"/>
    <w:rsid w:val="00814155"/>
    <w:rsid w:val="0081564B"/>
    <w:rsid w:val="0082137E"/>
    <w:rsid w:val="00826361"/>
    <w:rsid w:val="008333D3"/>
    <w:rsid w:val="00833B6A"/>
    <w:rsid w:val="008358E6"/>
    <w:rsid w:val="00836000"/>
    <w:rsid w:val="0083694D"/>
    <w:rsid w:val="008427E7"/>
    <w:rsid w:val="0084439C"/>
    <w:rsid w:val="0085018E"/>
    <w:rsid w:val="008505B0"/>
    <w:rsid w:val="00850ECC"/>
    <w:rsid w:val="008532F2"/>
    <w:rsid w:val="008546B1"/>
    <w:rsid w:val="00855601"/>
    <w:rsid w:val="00855801"/>
    <w:rsid w:val="008607D2"/>
    <w:rsid w:val="00861DDF"/>
    <w:rsid w:val="008623EF"/>
    <w:rsid w:val="008630B0"/>
    <w:rsid w:val="008631F3"/>
    <w:rsid w:val="00864F18"/>
    <w:rsid w:val="008656E6"/>
    <w:rsid w:val="00866265"/>
    <w:rsid w:val="008674F0"/>
    <w:rsid w:val="00871BE0"/>
    <w:rsid w:val="00874021"/>
    <w:rsid w:val="008746AA"/>
    <w:rsid w:val="00875004"/>
    <w:rsid w:val="00881EB1"/>
    <w:rsid w:val="00882C31"/>
    <w:rsid w:val="0088734B"/>
    <w:rsid w:val="00892018"/>
    <w:rsid w:val="00892244"/>
    <w:rsid w:val="00892EDC"/>
    <w:rsid w:val="00894C98"/>
    <w:rsid w:val="00895C46"/>
    <w:rsid w:val="008973AB"/>
    <w:rsid w:val="008A3A06"/>
    <w:rsid w:val="008A434D"/>
    <w:rsid w:val="008A55A9"/>
    <w:rsid w:val="008A6014"/>
    <w:rsid w:val="008A6217"/>
    <w:rsid w:val="008B3D8B"/>
    <w:rsid w:val="008B4C6F"/>
    <w:rsid w:val="008B520B"/>
    <w:rsid w:val="008C0D69"/>
    <w:rsid w:val="008C228D"/>
    <w:rsid w:val="008C2BDC"/>
    <w:rsid w:val="008C32FA"/>
    <w:rsid w:val="008C3DE4"/>
    <w:rsid w:val="008C4C00"/>
    <w:rsid w:val="008C5C56"/>
    <w:rsid w:val="008C7A1D"/>
    <w:rsid w:val="008D35E7"/>
    <w:rsid w:val="008D4EC0"/>
    <w:rsid w:val="008D5E4B"/>
    <w:rsid w:val="008D6F9A"/>
    <w:rsid w:val="008D7AAD"/>
    <w:rsid w:val="008E042F"/>
    <w:rsid w:val="008E4D12"/>
    <w:rsid w:val="008E59F6"/>
    <w:rsid w:val="008E7271"/>
    <w:rsid w:val="008F2D08"/>
    <w:rsid w:val="008F47BF"/>
    <w:rsid w:val="008F6010"/>
    <w:rsid w:val="008F6BAF"/>
    <w:rsid w:val="009003CC"/>
    <w:rsid w:val="00900E8D"/>
    <w:rsid w:val="00900FC7"/>
    <w:rsid w:val="009019C7"/>
    <w:rsid w:val="00901B91"/>
    <w:rsid w:val="009033DF"/>
    <w:rsid w:val="0090376C"/>
    <w:rsid w:val="00903B17"/>
    <w:rsid w:val="009062AE"/>
    <w:rsid w:val="0090651E"/>
    <w:rsid w:val="009124E8"/>
    <w:rsid w:val="0091355A"/>
    <w:rsid w:val="0091515B"/>
    <w:rsid w:val="0092072D"/>
    <w:rsid w:val="00921798"/>
    <w:rsid w:val="00922673"/>
    <w:rsid w:val="009273B5"/>
    <w:rsid w:val="009309AB"/>
    <w:rsid w:val="00933498"/>
    <w:rsid w:val="009339CA"/>
    <w:rsid w:val="00933F62"/>
    <w:rsid w:val="00934E22"/>
    <w:rsid w:val="009358C6"/>
    <w:rsid w:val="009362FB"/>
    <w:rsid w:val="009364B7"/>
    <w:rsid w:val="009370FF"/>
    <w:rsid w:val="00940A24"/>
    <w:rsid w:val="00940BB6"/>
    <w:rsid w:val="009410A4"/>
    <w:rsid w:val="009448BB"/>
    <w:rsid w:val="0094513C"/>
    <w:rsid w:val="0094541C"/>
    <w:rsid w:val="0095127F"/>
    <w:rsid w:val="00951A9C"/>
    <w:rsid w:val="009554D1"/>
    <w:rsid w:val="00955718"/>
    <w:rsid w:val="00956BD6"/>
    <w:rsid w:val="00956CD1"/>
    <w:rsid w:val="00960081"/>
    <w:rsid w:val="00960511"/>
    <w:rsid w:val="00960665"/>
    <w:rsid w:val="0096535A"/>
    <w:rsid w:val="00966695"/>
    <w:rsid w:val="00966940"/>
    <w:rsid w:val="00967B23"/>
    <w:rsid w:val="009700D9"/>
    <w:rsid w:val="00970611"/>
    <w:rsid w:val="00971BD6"/>
    <w:rsid w:val="00973C1E"/>
    <w:rsid w:val="00973F95"/>
    <w:rsid w:val="0097446E"/>
    <w:rsid w:val="00974D0F"/>
    <w:rsid w:val="009752A1"/>
    <w:rsid w:val="00982102"/>
    <w:rsid w:val="009851B3"/>
    <w:rsid w:val="009863B6"/>
    <w:rsid w:val="009864A9"/>
    <w:rsid w:val="00987EC8"/>
    <w:rsid w:val="00991D1B"/>
    <w:rsid w:val="0099464C"/>
    <w:rsid w:val="00996015"/>
    <w:rsid w:val="00996B75"/>
    <w:rsid w:val="00997F4D"/>
    <w:rsid w:val="009A11A4"/>
    <w:rsid w:val="009A31D5"/>
    <w:rsid w:val="009A5950"/>
    <w:rsid w:val="009A6018"/>
    <w:rsid w:val="009A61FE"/>
    <w:rsid w:val="009A6530"/>
    <w:rsid w:val="009B06A8"/>
    <w:rsid w:val="009B0AD0"/>
    <w:rsid w:val="009B0C89"/>
    <w:rsid w:val="009B0F75"/>
    <w:rsid w:val="009B190B"/>
    <w:rsid w:val="009B27EB"/>
    <w:rsid w:val="009B38E6"/>
    <w:rsid w:val="009B54B5"/>
    <w:rsid w:val="009B5D1D"/>
    <w:rsid w:val="009B6172"/>
    <w:rsid w:val="009B7655"/>
    <w:rsid w:val="009B78B2"/>
    <w:rsid w:val="009C0FD5"/>
    <w:rsid w:val="009C4277"/>
    <w:rsid w:val="009C64C4"/>
    <w:rsid w:val="009D0E9C"/>
    <w:rsid w:val="009D1A92"/>
    <w:rsid w:val="009D392C"/>
    <w:rsid w:val="009D57A1"/>
    <w:rsid w:val="009D6249"/>
    <w:rsid w:val="009E0603"/>
    <w:rsid w:val="009E1D06"/>
    <w:rsid w:val="009E24B3"/>
    <w:rsid w:val="009E2BE1"/>
    <w:rsid w:val="009E3D2C"/>
    <w:rsid w:val="009E3D3C"/>
    <w:rsid w:val="009E624D"/>
    <w:rsid w:val="009F3644"/>
    <w:rsid w:val="009F37C2"/>
    <w:rsid w:val="009F3DCA"/>
    <w:rsid w:val="009F5972"/>
    <w:rsid w:val="009F6D71"/>
    <w:rsid w:val="009F75D1"/>
    <w:rsid w:val="00A01772"/>
    <w:rsid w:val="00A01EC2"/>
    <w:rsid w:val="00A07770"/>
    <w:rsid w:val="00A11713"/>
    <w:rsid w:val="00A118EF"/>
    <w:rsid w:val="00A12875"/>
    <w:rsid w:val="00A12B99"/>
    <w:rsid w:val="00A12E4E"/>
    <w:rsid w:val="00A1410C"/>
    <w:rsid w:val="00A14672"/>
    <w:rsid w:val="00A14E0E"/>
    <w:rsid w:val="00A174FC"/>
    <w:rsid w:val="00A20341"/>
    <w:rsid w:val="00A205D8"/>
    <w:rsid w:val="00A22182"/>
    <w:rsid w:val="00A22346"/>
    <w:rsid w:val="00A23B50"/>
    <w:rsid w:val="00A23CA1"/>
    <w:rsid w:val="00A2495C"/>
    <w:rsid w:val="00A31012"/>
    <w:rsid w:val="00A4223A"/>
    <w:rsid w:val="00A43399"/>
    <w:rsid w:val="00A45C6D"/>
    <w:rsid w:val="00A47D10"/>
    <w:rsid w:val="00A47D87"/>
    <w:rsid w:val="00A51D25"/>
    <w:rsid w:val="00A533E6"/>
    <w:rsid w:val="00A549EE"/>
    <w:rsid w:val="00A56665"/>
    <w:rsid w:val="00A60B15"/>
    <w:rsid w:val="00A65828"/>
    <w:rsid w:val="00A704CD"/>
    <w:rsid w:val="00A70CB2"/>
    <w:rsid w:val="00A71DE5"/>
    <w:rsid w:val="00A72BE0"/>
    <w:rsid w:val="00A74CC0"/>
    <w:rsid w:val="00A7580D"/>
    <w:rsid w:val="00A7798B"/>
    <w:rsid w:val="00A77A3D"/>
    <w:rsid w:val="00A821A0"/>
    <w:rsid w:val="00A8243C"/>
    <w:rsid w:val="00A84053"/>
    <w:rsid w:val="00A8434B"/>
    <w:rsid w:val="00A845BC"/>
    <w:rsid w:val="00A84E70"/>
    <w:rsid w:val="00A84F86"/>
    <w:rsid w:val="00A85615"/>
    <w:rsid w:val="00A85CB9"/>
    <w:rsid w:val="00A90911"/>
    <w:rsid w:val="00A92528"/>
    <w:rsid w:val="00A95DF2"/>
    <w:rsid w:val="00A96567"/>
    <w:rsid w:val="00A96B78"/>
    <w:rsid w:val="00AA378F"/>
    <w:rsid w:val="00AA3DE4"/>
    <w:rsid w:val="00AA5B41"/>
    <w:rsid w:val="00AA6BEE"/>
    <w:rsid w:val="00AA70F4"/>
    <w:rsid w:val="00AB35E1"/>
    <w:rsid w:val="00AB4007"/>
    <w:rsid w:val="00AB46EA"/>
    <w:rsid w:val="00AB4BC0"/>
    <w:rsid w:val="00AB541A"/>
    <w:rsid w:val="00AB5E14"/>
    <w:rsid w:val="00AB61EF"/>
    <w:rsid w:val="00AB75D5"/>
    <w:rsid w:val="00AB7D7C"/>
    <w:rsid w:val="00AC1139"/>
    <w:rsid w:val="00AC1A4B"/>
    <w:rsid w:val="00AC23BC"/>
    <w:rsid w:val="00AC3828"/>
    <w:rsid w:val="00AC3E59"/>
    <w:rsid w:val="00AC523A"/>
    <w:rsid w:val="00AC5292"/>
    <w:rsid w:val="00AC676B"/>
    <w:rsid w:val="00AD027D"/>
    <w:rsid w:val="00AD1163"/>
    <w:rsid w:val="00AD172D"/>
    <w:rsid w:val="00AD2D3B"/>
    <w:rsid w:val="00AD3C56"/>
    <w:rsid w:val="00AD6F97"/>
    <w:rsid w:val="00AE29D3"/>
    <w:rsid w:val="00AE5F8C"/>
    <w:rsid w:val="00AF2EF4"/>
    <w:rsid w:val="00AF61E0"/>
    <w:rsid w:val="00AF6E9B"/>
    <w:rsid w:val="00AF7BE6"/>
    <w:rsid w:val="00B00869"/>
    <w:rsid w:val="00B01AA2"/>
    <w:rsid w:val="00B0352B"/>
    <w:rsid w:val="00B05B5A"/>
    <w:rsid w:val="00B05CDD"/>
    <w:rsid w:val="00B063A8"/>
    <w:rsid w:val="00B06457"/>
    <w:rsid w:val="00B1000F"/>
    <w:rsid w:val="00B115DB"/>
    <w:rsid w:val="00B15F55"/>
    <w:rsid w:val="00B16093"/>
    <w:rsid w:val="00B162E9"/>
    <w:rsid w:val="00B20805"/>
    <w:rsid w:val="00B2155C"/>
    <w:rsid w:val="00B21CDB"/>
    <w:rsid w:val="00B230CD"/>
    <w:rsid w:val="00B23C74"/>
    <w:rsid w:val="00B23E1B"/>
    <w:rsid w:val="00B23FF3"/>
    <w:rsid w:val="00B25545"/>
    <w:rsid w:val="00B31945"/>
    <w:rsid w:val="00B32B76"/>
    <w:rsid w:val="00B32C7E"/>
    <w:rsid w:val="00B3391F"/>
    <w:rsid w:val="00B347BC"/>
    <w:rsid w:val="00B34919"/>
    <w:rsid w:val="00B35845"/>
    <w:rsid w:val="00B37C67"/>
    <w:rsid w:val="00B42812"/>
    <w:rsid w:val="00B42942"/>
    <w:rsid w:val="00B42D47"/>
    <w:rsid w:val="00B43030"/>
    <w:rsid w:val="00B44142"/>
    <w:rsid w:val="00B470D7"/>
    <w:rsid w:val="00B50FC2"/>
    <w:rsid w:val="00B53B2F"/>
    <w:rsid w:val="00B5666D"/>
    <w:rsid w:val="00B57A4B"/>
    <w:rsid w:val="00B613F2"/>
    <w:rsid w:val="00B62026"/>
    <w:rsid w:val="00B62324"/>
    <w:rsid w:val="00B62BAB"/>
    <w:rsid w:val="00B66207"/>
    <w:rsid w:val="00B670F7"/>
    <w:rsid w:val="00B7026D"/>
    <w:rsid w:val="00B71E7B"/>
    <w:rsid w:val="00B72AC2"/>
    <w:rsid w:val="00B72B49"/>
    <w:rsid w:val="00B74C07"/>
    <w:rsid w:val="00B752BA"/>
    <w:rsid w:val="00B7623A"/>
    <w:rsid w:val="00B7696A"/>
    <w:rsid w:val="00B824E5"/>
    <w:rsid w:val="00B831CD"/>
    <w:rsid w:val="00B87B4F"/>
    <w:rsid w:val="00B9521C"/>
    <w:rsid w:val="00B95ED8"/>
    <w:rsid w:val="00B96A54"/>
    <w:rsid w:val="00B9777B"/>
    <w:rsid w:val="00BA0257"/>
    <w:rsid w:val="00BA26AF"/>
    <w:rsid w:val="00BA355B"/>
    <w:rsid w:val="00BA5347"/>
    <w:rsid w:val="00BA67D3"/>
    <w:rsid w:val="00BA6AEE"/>
    <w:rsid w:val="00BB0B57"/>
    <w:rsid w:val="00BB18BE"/>
    <w:rsid w:val="00BB3922"/>
    <w:rsid w:val="00BB3F84"/>
    <w:rsid w:val="00BB73C6"/>
    <w:rsid w:val="00BB757C"/>
    <w:rsid w:val="00BC0C80"/>
    <w:rsid w:val="00BC2C61"/>
    <w:rsid w:val="00BC3617"/>
    <w:rsid w:val="00BC3A70"/>
    <w:rsid w:val="00BC581F"/>
    <w:rsid w:val="00BC7340"/>
    <w:rsid w:val="00BD3299"/>
    <w:rsid w:val="00BD3CAA"/>
    <w:rsid w:val="00BD42AD"/>
    <w:rsid w:val="00BD67B7"/>
    <w:rsid w:val="00BE0228"/>
    <w:rsid w:val="00BE1402"/>
    <w:rsid w:val="00BE1B4C"/>
    <w:rsid w:val="00BE30E3"/>
    <w:rsid w:val="00BE34E4"/>
    <w:rsid w:val="00BE40C1"/>
    <w:rsid w:val="00BE42F1"/>
    <w:rsid w:val="00BE5192"/>
    <w:rsid w:val="00BE5455"/>
    <w:rsid w:val="00BE5C8E"/>
    <w:rsid w:val="00BE6A49"/>
    <w:rsid w:val="00BE6ED0"/>
    <w:rsid w:val="00BE7989"/>
    <w:rsid w:val="00BF1A35"/>
    <w:rsid w:val="00BF2DDF"/>
    <w:rsid w:val="00BF6889"/>
    <w:rsid w:val="00BF6A1E"/>
    <w:rsid w:val="00C00128"/>
    <w:rsid w:val="00C0056A"/>
    <w:rsid w:val="00C0174C"/>
    <w:rsid w:val="00C033FA"/>
    <w:rsid w:val="00C04C9B"/>
    <w:rsid w:val="00C07C99"/>
    <w:rsid w:val="00C126A4"/>
    <w:rsid w:val="00C13670"/>
    <w:rsid w:val="00C140B4"/>
    <w:rsid w:val="00C17DCA"/>
    <w:rsid w:val="00C21486"/>
    <w:rsid w:val="00C24A3C"/>
    <w:rsid w:val="00C24F69"/>
    <w:rsid w:val="00C3326C"/>
    <w:rsid w:val="00C33394"/>
    <w:rsid w:val="00C33D7B"/>
    <w:rsid w:val="00C34609"/>
    <w:rsid w:val="00C36420"/>
    <w:rsid w:val="00C446D9"/>
    <w:rsid w:val="00C5001D"/>
    <w:rsid w:val="00C51E64"/>
    <w:rsid w:val="00C53AB4"/>
    <w:rsid w:val="00C53B63"/>
    <w:rsid w:val="00C53BB3"/>
    <w:rsid w:val="00C55493"/>
    <w:rsid w:val="00C558FB"/>
    <w:rsid w:val="00C57367"/>
    <w:rsid w:val="00C61B9F"/>
    <w:rsid w:val="00C61F57"/>
    <w:rsid w:val="00C64D60"/>
    <w:rsid w:val="00C6534E"/>
    <w:rsid w:val="00C666C8"/>
    <w:rsid w:val="00C66BF9"/>
    <w:rsid w:val="00C74FFD"/>
    <w:rsid w:val="00C76045"/>
    <w:rsid w:val="00C76588"/>
    <w:rsid w:val="00C772BE"/>
    <w:rsid w:val="00C80FE6"/>
    <w:rsid w:val="00C8228D"/>
    <w:rsid w:val="00C84799"/>
    <w:rsid w:val="00C85401"/>
    <w:rsid w:val="00C855C3"/>
    <w:rsid w:val="00C8665C"/>
    <w:rsid w:val="00C86F5A"/>
    <w:rsid w:val="00C87397"/>
    <w:rsid w:val="00C91956"/>
    <w:rsid w:val="00C96395"/>
    <w:rsid w:val="00C96997"/>
    <w:rsid w:val="00C978E9"/>
    <w:rsid w:val="00C97E6A"/>
    <w:rsid w:val="00CA3EAE"/>
    <w:rsid w:val="00CA4FCA"/>
    <w:rsid w:val="00CA529F"/>
    <w:rsid w:val="00CA5333"/>
    <w:rsid w:val="00CA567A"/>
    <w:rsid w:val="00CB0C6C"/>
    <w:rsid w:val="00CB6155"/>
    <w:rsid w:val="00CC24BE"/>
    <w:rsid w:val="00CC2752"/>
    <w:rsid w:val="00CC3CF3"/>
    <w:rsid w:val="00CC4345"/>
    <w:rsid w:val="00CD038D"/>
    <w:rsid w:val="00CD086A"/>
    <w:rsid w:val="00CD0D1E"/>
    <w:rsid w:val="00CD0DF7"/>
    <w:rsid w:val="00CD1F13"/>
    <w:rsid w:val="00CD43D4"/>
    <w:rsid w:val="00CD538E"/>
    <w:rsid w:val="00CD686B"/>
    <w:rsid w:val="00CD7230"/>
    <w:rsid w:val="00CE16AB"/>
    <w:rsid w:val="00CE2A1B"/>
    <w:rsid w:val="00CE3462"/>
    <w:rsid w:val="00CE6A1A"/>
    <w:rsid w:val="00CF07B8"/>
    <w:rsid w:val="00CF091F"/>
    <w:rsid w:val="00CF508E"/>
    <w:rsid w:val="00CF66F3"/>
    <w:rsid w:val="00D0015C"/>
    <w:rsid w:val="00D00581"/>
    <w:rsid w:val="00D00F2F"/>
    <w:rsid w:val="00D01DD6"/>
    <w:rsid w:val="00D02C1E"/>
    <w:rsid w:val="00D04591"/>
    <w:rsid w:val="00D04D1F"/>
    <w:rsid w:val="00D05F36"/>
    <w:rsid w:val="00D0635F"/>
    <w:rsid w:val="00D064C6"/>
    <w:rsid w:val="00D12C5A"/>
    <w:rsid w:val="00D16F22"/>
    <w:rsid w:val="00D17434"/>
    <w:rsid w:val="00D174EB"/>
    <w:rsid w:val="00D227A1"/>
    <w:rsid w:val="00D2375A"/>
    <w:rsid w:val="00D25B61"/>
    <w:rsid w:val="00D30581"/>
    <w:rsid w:val="00D31922"/>
    <w:rsid w:val="00D31A07"/>
    <w:rsid w:val="00D33F64"/>
    <w:rsid w:val="00D34F0E"/>
    <w:rsid w:val="00D35DD9"/>
    <w:rsid w:val="00D36E02"/>
    <w:rsid w:val="00D40C8E"/>
    <w:rsid w:val="00D453D1"/>
    <w:rsid w:val="00D45425"/>
    <w:rsid w:val="00D514E6"/>
    <w:rsid w:val="00D5601A"/>
    <w:rsid w:val="00D57836"/>
    <w:rsid w:val="00D578F0"/>
    <w:rsid w:val="00D57D93"/>
    <w:rsid w:val="00D65424"/>
    <w:rsid w:val="00D67F94"/>
    <w:rsid w:val="00D708DD"/>
    <w:rsid w:val="00D70B26"/>
    <w:rsid w:val="00D7184F"/>
    <w:rsid w:val="00D7187B"/>
    <w:rsid w:val="00D75A72"/>
    <w:rsid w:val="00D76837"/>
    <w:rsid w:val="00D76BCC"/>
    <w:rsid w:val="00D77A66"/>
    <w:rsid w:val="00D81513"/>
    <w:rsid w:val="00D81837"/>
    <w:rsid w:val="00D818A1"/>
    <w:rsid w:val="00D8573D"/>
    <w:rsid w:val="00D86515"/>
    <w:rsid w:val="00D876BB"/>
    <w:rsid w:val="00D902BE"/>
    <w:rsid w:val="00D91CDE"/>
    <w:rsid w:val="00D92658"/>
    <w:rsid w:val="00D97C2D"/>
    <w:rsid w:val="00DA0615"/>
    <w:rsid w:val="00DA1F31"/>
    <w:rsid w:val="00DA4B3F"/>
    <w:rsid w:val="00DA5BC9"/>
    <w:rsid w:val="00DA7441"/>
    <w:rsid w:val="00DA7894"/>
    <w:rsid w:val="00DB0F02"/>
    <w:rsid w:val="00DB31B6"/>
    <w:rsid w:val="00DB33DD"/>
    <w:rsid w:val="00DC0402"/>
    <w:rsid w:val="00DC1234"/>
    <w:rsid w:val="00DC2BBC"/>
    <w:rsid w:val="00DC4452"/>
    <w:rsid w:val="00DC4500"/>
    <w:rsid w:val="00DC5376"/>
    <w:rsid w:val="00DC604C"/>
    <w:rsid w:val="00DC7B48"/>
    <w:rsid w:val="00DD0D0B"/>
    <w:rsid w:val="00DD1E9C"/>
    <w:rsid w:val="00DD1FEB"/>
    <w:rsid w:val="00DD372F"/>
    <w:rsid w:val="00DE0BEA"/>
    <w:rsid w:val="00DE3D0B"/>
    <w:rsid w:val="00DE6BAB"/>
    <w:rsid w:val="00DF071E"/>
    <w:rsid w:val="00DF1063"/>
    <w:rsid w:val="00DF14AB"/>
    <w:rsid w:val="00DF42F5"/>
    <w:rsid w:val="00DF7D6F"/>
    <w:rsid w:val="00E00782"/>
    <w:rsid w:val="00E04463"/>
    <w:rsid w:val="00E10EEA"/>
    <w:rsid w:val="00E12434"/>
    <w:rsid w:val="00E205BC"/>
    <w:rsid w:val="00E20DE4"/>
    <w:rsid w:val="00E210D0"/>
    <w:rsid w:val="00E22012"/>
    <w:rsid w:val="00E23F86"/>
    <w:rsid w:val="00E2419A"/>
    <w:rsid w:val="00E248FC"/>
    <w:rsid w:val="00E26DED"/>
    <w:rsid w:val="00E27228"/>
    <w:rsid w:val="00E27572"/>
    <w:rsid w:val="00E31283"/>
    <w:rsid w:val="00E31EB1"/>
    <w:rsid w:val="00E32006"/>
    <w:rsid w:val="00E32DE7"/>
    <w:rsid w:val="00E33E1E"/>
    <w:rsid w:val="00E344A7"/>
    <w:rsid w:val="00E36C88"/>
    <w:rsid w:val="00E37158"/>
    <w:rsid w:val="00E40636"/>
    <w:rsid w:val="00E409E5"/>
    <w:rsid w:val="00E4144C"/>
    <w:rsid w:val="00E4161D"/>
    <w:rsid w:val="00E44A38"/>
    <w:rsid w:val="00E45D4C"/>
    <w:rsid w:val="00E46679"/>
    <w:rsid w:val="00E51332"/>
    <w:rsid w:val="00E57D6A"/>
    <w:rsid w:val="00E60951"/>
    <w:rsid w:val="00E6422A"/>
    <w:rsid w:val="00E66BE9"/>
    <w:rsid w:val="00E67282"/>
    <w:rsid w:val="00E67412"/>
    <w:rsid w:val="00E715B3"/>
    <w:rsid w:val="00E75E01"/>
    <w:rsid w:val="00E76782"/>
    <w:rsid w:val="00E7726C"/>
    <w:rsid w:val="00E80EA9"/>
    <w:rsid w:val="00E80F0B"/>
    <w:rsid w:val="00E81174"/>
    <w:rsid w:val="00E8119A"/>
    <w:rsid w:val="00E82BDE"/>
    <w:rsid w:val="00E8347A"/>
    <w:rsid w:val="00E8410D"/>
    <w:rsid w:val="00E84121"/>
    <w:rsid w:val="00E85DC3"/>
    <w:rsid w:val="00E867CE"/>
    <w:rsid w:val="00E877E3"/>
    <w:rsid w:val="00E920A6"/>
    <w:rsid w:val="00E9265A"/>
    <w:rsid w:val="00E9457A"/>
    <w:rsid w:val="00E9486E"/>
    <w:rsid w:val="00E95184"/>
    <w:rsid w:val="00EA22FD"/>
    <w:rsid w:val="00EA494A"/>
    <w:rsid w:val="00EA5DA4"/>
    <w:rsid w:val="00EB0085"/>
    <w:rsid w:val="00EB038A"/>
    <w:rsid w:val="00EB0BFF"/>
    <w:rsid w:val="00EB2225"/>
    <w:rsid w:val="00EB2C0C"/>
    <w:rsid w:val="00EB3558"/>
    <w:rsid w:val="00EB4874"/>
    <w:rsid w:val="00EB4A65"/>
    <w:rsid w:val="00EB599C"/>
    <w:rsid w:val="00EB7000"/>
    <w:rsid w:val="00EC0F8B"/>
    <w:rsid w:val="00EC2A1D"/>
    <w:rsid w:val="00EC4CA8"/>
    <w:rsid w:val="00EC57B4"/>
    <w:rsid w:val="00EC5CE2"/>
    <w:rsid w:val="00EC60C5"/>
    <w:rsid w:val="00ED0264"/>
    <w:rsid w:val="00ED11A1"/>
    <w:rsid w:val="00ED4FE5"/>
    <w:rsid w:val="00ED6990"/>
    <w:rsid w:val="00ED7F58"/>
    <w:rsid w:val="00EE1377"/>
    <w:rsid w:val="00EE1814"/>
    <w:rsid w:val="00EE27B4"/>
    <w:rsid w:val="00EE5556"/>
    <w:rsid w:val="00EE7560"/>
    <w:rsid w:val="00EE7819"/>
    <w:rsid w:val="00EE7911"/>
    <w:rsid w:val="00EF32DD"/>
    <w:rsid w:val="00EF3708"/>
    <w:rsid w:val="00EF4C09"/>
    <w:rsid w:val="00EF5BF0"/>
    <w:rsid w:val="00EF6F5C"/>
    <w:rsid w:val="00EF7E56"/>
    <w:rsid w:val="00F023D7"/>
    <w:rsid w:val="00F046EC"/>
    <w:rsid w:val="00F07A1F"/>
    <w:rsid w:val="00F10B68"/>
    <w:rsid w:val="00F10F2A"/>
    <w:rsid w:val="00F129FC"/>
    <w:rsid w:val="00F13823"/>
    <w:rsid w:val="00F13BD3"/>
    <w:rsid w:val="00F15768"/>
    <w:rsid w:val="00F1620E"/>
    <w:rsid w:val="00F209BA"/>
    <w:rsid w:val="00F243DB"/>
    <w:rsid w:val="00F2448E"/>
    <w:rsid w:val="00F24A2D"/>
    <w:rsid w:val="00F30504"/>
    <w:rsid w:val="00F3076F"/>
    <w:rsid w:val="00F30BBA"/>
    <w:rsid w:val="00F313B4"/>
    <w:rsid w:val="00F319EB"/>
    <w:rsid w:val="00F319FE"/>
    <w:rsid w:val="00F320C9"/>
    <w:rsid w:val="00F3386D"/>
    <w:rsid w:val="00F34D89"/>
    <w:rsid w:val="00F34F01"/>
    <w:rsid w:val="00F36AE1"/>
    <w:rsid w:val="00F4018A"/>
    <w:rsid w:val="00F40F7E"/>
    <w:rsid w:val="00F41409"/>
    <w:rsid w:val="00F416FD"/>
    <w:rsid w:val="00F43553"/>
    <w:rsid w:val="00F44764"/>
    <w:rsid w:val="00F450ED"/>
    <w:rsid w:val="00F46699"/>
    <w:rsid w:val="00F51821"/>
    <w:rsid w:val="00F51C17"/>
    <w:rsid w:val="00F54C78"/>
    <w:rsid w:val="00F56155"/>
    <w:rsid w:val="00F57040"/>
    <w:rsid w:val="00F57773"/>
    <w:rsid w:val="00F579C8"/>
    <w:rsid w:val="00F57BA2"/>
    <w:rsid w:val="00F60270"/>
    <w:rsid w:val="00F6095F"/>
    <w:rsid w:val="00F60FA1"/>
    <w:rsid w:val="00F61B0A"/>
    <w:rsid w:val="00F62871"/>
    <w:rsid w:val="00F641A1"/>
    <w:rsid w:val="00F657DB"/>
    <w:rsid w:val="00F66C80"/>
    <w:rsid w:val="00F70586"/>
    <w:rsid w:val="00F73DD7"/>
    <w:rsid w:val="00F76167"/>
    <w:rsid w:val="00F77AE4"/>
    <w:rsid w:val="00F77E30"/>
    <w:rsid w:val="00F816CF"/>
    <w:rsid w:val="00F820CF"/>
    <w:rsid w:val="00F82499"/>
    <w:rsid w:val="00F8358B"/>
    <w:rsid w:val="00F837AD"/>
    <w:rsid w:val="00F83A5F"/>
    <w:rsid w:val="00F83AA0"/>
    <w:rsid w:val="00F84051"/>
    <w:rsid w:val="00F847A9"/>
    <w:rsid w:val="00F869EE"/>
    <w:rsid w:val="00F86F1A"/>
    <w:rsid w:val="00F90CA5"/>
    <w:rsid w:val="00F9176D"/>
    <w:rsid w:val="00F92393"/>
    <w:rsid w:val="00F93016"/>
    <w:rsid w:val="00F940FB"/>
    <w:rsid w:val="00F94ECB"/>
    <w:rsid w:val="00F9528B"/>
    <w:rsid w:val="00F96DD9"/>
    <w:rsid w:val="00F9785F"/>
    <w:rsid w:val="00FA2412"/>
    <w:rsid w:val="00FA62D8"/>
    <w:rsid w:val="00FA6B03"/>
    <w:rsid w:val="00FA6C80"/>
    <w:rsid w:val="00FB06A9"/>
    <w:rsid w:val="00FB1296"/>
    <w:rsid w:val="00FB4184"/>
    <w:rsid w:val="00FB56A8"/>
    <w:rsid w:val="00FB5982"/>
    <w:rsid w:val="00FB727B"/>
    <w:rsid w:val="00FC046D"/>
    <w:rsid w:val="00FC1537"/>
    <w:rsid w:val="00FC25AE"/>
    <w:rsid w:val="00FC33C6"/>
    <w:rsid w:val="00FC4090"/>
    <w:rsid w:val="00FC693F"/>
    <w:rsid w:val="00FC6C58"/>
    <w:rsid w:val="00FD0B34"/>
    <w:rsid w:val="00FD1164"/>
    <w:rsid w:val="00FD2172"/>
    <w:rsid w:val="00FD6A4F"/>
    <w:rsid w:val="00FD7884"/>
    <w:rsid w:val="00FE0A55"/>
    <w:rsid w:val="00FE1005"/>
    <w:rsid w:val="00FE2D2A"/>
    <w:rsid w:val="00FE6DB8"/>
    <w:rsid w:val="00FE6F19"/>
    <w:rsid w:val="00FE7388"/>
    <w:rsid w:val="00FF3101"/>
    <w:rsid w:val="00FF3796"/>
    <w:rsid w:val="00FF52BC"/>
    <w:rsid w:val="00FF56B3"/>
    <w:rsid w:val="00FF573E"/>
    <w:rsid w:val="00FF5923"/>
    <w:rsid w:val="00FF61B2"/>
    <w:rsid w:val="00FF61B4"/>
    <w:rsid w:val="00FF67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599E8"/>
  <w15:chartTrackingRefBased/>
  <w15:docId w15:val="{19AFB263-1196-41A6-A3EA-E454AEAA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41"/>
    <w:rPr>
      <w:rFonts w:ascii="Cambria" w:eastAsia="Times New Roman" w:hAnsi="Cambria"/>
      <w:sz w:val="24"/>
      <w:szCs w:val="24"/>
      <w:lang w:val="en-US" w:eastAsia="en-US"/>
    </w:rPr>
  </w:style>
  <w:style w:type="paragraph" w:styleId="Heading1">
    <w:name w:val="heading 1"/>
    <w:basedOn w:val="Normal"/>
    <w:link w:val="Heading1Char"/>
    <w:uiPriority w:val="9"/>
    <w:qFormat/>
    <w:rsid w:val="007D18F2"/>
    <w:pPr>
      <w:widowControl w:val="0"/>
      <w:autoSpaceDE w:val="0"/>
      <w:autoSpaceDN w:val="0"/>
      <w:ind w:left="235"/>
      <w:outlineLvl w:val="0"/>
    </w:pPr>
    <w:rPr>
      <w:rFonts w:ascii="Arial Unicode MS" w:eastAsia="Arial Unicode MS" w:hAnsi="Arial Unicode MS" w:cs="Arial Unicode MS"/>
      <w:sz w:val="30"/>
      <w:szCs w:val="30"/>
    </w:rPr>
  </w:style>
  <w:style w:type="paragraph" w:styleId="Heading3">
    <w:name w:val="heading 3"/>
    <w:basedOn w:val="Normal"/>
    <w:next w:val="Normal"/>
    <w:link w:val="Heading3Char"/>
    <w:uiPriority w:val="9"/>
    <w:semiHidden/>
    <w:unhideWhenUsed/>
    <w:qFormat/>
    <w:rsid w:val="002446B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059"/>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585059"/>
  </w:style>
  <w:style w:type="paragraph" w:styleId="Footer">
    <w:name w:val="footer"/>
    <w:basedOn w:val="Normal"/>
    <w:link w:val="FooterChar"/>
    <w:uiPriority w:val="99"/>
    <w:unhideWhenUsed/>
    <w:rsid w:val="00585059"/>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585059"/>
  </w:style>
  <w:style w:type="table" w:styleId="TableGrid">
    <w:name w:val="Table Grid"/>
    <w:basedOn w:val="TableNormal"/>
    <w:uiPriority w:val="39"/>
    <w:rsid w:val="0058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85059"/>
    <w:pPr>
      <w:autoSpaceDE w:val="0"/>
      <w:autoSpaceDN w:val="0"/>
      <w:adjustRightInd w:val="0"/>
      <w:spacing w:line="288" w:lineRule="auto"/>
      <w:textAlignment w:val="center"/>
    </w:pPr>
    <w:rPr>
      <w:rFonts w:ascii="MinionPro-Regular" w:eastAsia="Calibri" w:hAnsi="MinionPro-Regular" w:cs="MinionPro-Regular"/>
      <w:color w:val="000000"/>
      <w:lang w:val="en-GB"/>
    </w:rPr>
  </w:style>
  <w:style w:type="character" w:styleId="Hyperlink">
    <w:name w:val="Hyperlink"/>
    <w:rsid w:val="00602941"/>
    <w:rPr>
      <w:color w:val="0000FF"/>
      <w:u w:val="single"/>
    </w:rPr>
  </w:style>
  <w:style w:type="paragraph" w:customStyle="1" w:styleId="Pa7">
    <w:name w:val="Pa7"/>
    <w:basedOn w:val="Normal"/>
    <w:next w:val="Normal"/>
    <w:uiPriority w:val="99"/>
    <w:rsid w:val="00602941"/>
    <w:pPr>
      <w:autoSpaceDE w:val="0"/>
      <w:autoSpaceDN w:val="0"/>
      <w:adjustRightInd w:val="0"/>
      <w:spacing w:line="221" w:lineRule="atLeast"/>
    </w:pPr>
    <w:rPr>
      <w:rFonts w:ascii="Calibri Light" w:eastAsia="Calibri" w:hAnsi="Calibri Light" w:cs="Calibri Light"/>
      <w:lang w:val="en-GB"/>
    </w:rPr>
  </w:style>
  <w:style w:type="paragraph" w:styleId="BalloonText">
    <w:name w:val="Balloon Text"/>
    <w:basedOn w:val="Normal"/>
    <w:link w:val="BalloonTextChar"/>
    <w:uiPriority w:val="99"/>
    <w:semiHidden/>
    <w:unhideWhenUsed/>
    <w:rsid w:val="0002524C"/>
    <w:rPr>
      <w:rFonts w:ascii="Segoe UI" w:hAnsi="Segoe UI" w:cs="Segoe UI"/>
      <w:sz w:val="18"/>
      <w:szCs w:val="18"/>
    </w:rPr>
  </w:style>
  <w:style w:type="character" w:customStyle="1" w:styleId="BalloonTextChar">
    <w:name w:val="Balloon Text Char"/>
    <w:link w:val="BalloonText"/>
    <w:uiPriority w:val="99"/>
    <w:semiHidden/>
    <w:rsid w:val="0002524C"/>
    <w:rPr>
      <w:rFonts w:ascii="Segoe UI" w:hAnsi="Segoe UI" w:cs="Segoe UI"/>
      <w:sz w:val="18"/>
      <w:szCs w:val="18"/>
    </w:rPr>
  </w:style>
  <w:style w:type="paragraph" w:styleId="FootnoteText">
    <w:name w:val="footnote text"/>
    <w:basedOn w:val="Normal"/>
    <w:link w:val="FootnoteTextChar"/>
    <w:uiPriority w:val="99"/>
    <w:semiHidden/>
    <w:unhideWhenUsed/>
    <w:rsid w:val="00153698"/>
    <w:rPr>
      <w:rFonts w:ascii="Calibri" w:eastAsia="Calibri" w:hAnsi="Calibri"/>
      <w:sz w:val="20"/>
      <w:szCs w:val="20"/>
      <w:lang w:val="en-GB"/>
    </w:rPr>
  </w:style>
  <w:style w:type="character" w:customStyle="1" w:styleId="FootnoteTextChar">
    <w:name w:val="Footnote Text Char"/>
    <w:link w:val="FootnoteText"/>
    <w:uiPriority w:val="99"/>
    <w:semiHidden/>
    <w:rsid w:val="00153698"/>
    <w:rPr>
      <w:sz w:val="20"/>
      <w:szCs w:val="20"/>
    </w:rPr>
  </w:style>
  <w:style w:type="character" w:styleId="FootnoteReference">
    <w:name w:val="footnote reference"/>
    <w:aliases w:val="Footnote number,Footnote Reference Superscript,BVI fnr,Footnote symbol,4_G,Footnotes refss,Footnote Ref,16 Point,Superscript 6 Point,ftref,Footnote Refernece,Appel note de bas de p.,[0],Texto de nota al pie,referencia nota al pie"/>
    <w:link w:val="CharChar1CharCharCharChar1CharCharCharCharCharCharCharCharCharCharCharCharCharCharCharChar"/>
    <w:uiPriority w:val="99"/>
    <w:qFormat/>
    <w:rsid w:val="00153698"/>
    <w:rPr>
      <w:vertAlign w:val="superscript"/>
    </w:rPr>
  </w:style>
  <w:style w:type="character" w:styleId="CommentReference">
    <w:name w:val="annotation reference"/>
    <w:uiPriority w:val="99"/>
    <w:rsid w:val="00153698"/>
    <w:rPr>
      <w:sz w:val="16"/>
      <w:szCs w:val="16"/>
    </w:rPr>
  </w:style>
  <w:style w:type="paragraph" w:styleId="CommentText">
    <w:name w:val="annotation text"/>
    <w:basedOn w:val="Normal"/>
    <w:link w:val="CommentTextChar"/>
    <w:rsid w:val="00153698"/>
    <w:pPr>
      <w:spacing w:after="120"/>
      <w:jc w:val="both"/>
    </w:pPr>
    <w:rPr>
      <w:rFonts w:ascii="Calibri" w:hAnsi="Calibri"/>
      <w:sz w:val="20"/>
      <w:szCs w:val="20"/>
    </w:rPr>
  </w:style>
  <w:style w:type="character" w:customStyle="1" w:styleId="CommentTextChar">
    <w:name w:val="Comment Text Char"/>
    <w:link w:val="CommentText"/>
    <w:rsid w:val="00153698"/>
    <w:rPr>
      <w:rFonts w:ascii="Calibri" w:eastAsia="Times New Roman" w:hAnsi="Calibri" w:cs="Times New Roman"/>
      <w:sz w:val="20"/>
      <w:szCs w:val="20"/>
      <w:lang w:val="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153698"/>
    <w:pPr>
      <w:spacing w:after="160" w:line="240" w:lineRule="exact"/>
      <w:jc w:val="both"/>
    </w:pPr>
    <w:rPr>
      <w:rFonts w:ascii="Calibri" w:eastAsia="Calibri" w:hAnsi="Calibri"/>
      <w:sz w:val="22"/>
      <w:szCs w:val="22"/>
      <w:vertAlign w:val="superscript"/>
      <w:lang w:val="en-GB"/>
    </w:rPr>
  </w:style>
  <w:style w:type="paragraph" w:styleId="ListParagraph">
    <w:name w:val="List Paragraph"/>
    <w:basedOn w:val="Normal"/>
    <w:uiPriority w:val="1"/>
    <w:qFormat/>
    <w:rsid w:val="006E3784"/>
    <w:pPr>
      <w:spacing w:after="160" w:line="259" w:lineRule="auto"/>
      <w:ind w:left="720"/>
      <w:contextualSpacing/>
    </w:pPr>
    <w:rPr>
      <w:rFonts w:ascii="Calibri" w:eastAsia="Calibri" w:hAnsi="Calibri"/>
      <w:sz w:val="22"/>
      <w:szCs w:val="22"/>
      <w:lang w:val="en-GB"/>
    </w:rPr>
  </w:style>
  <w:style w:type="paragraph" w:styleId="CommentSubject">
    <w:name w:val="annotation subject"/>
    <w:basedOn w:val="CommentText"/>
    <w:next w:val="CommentText"/>
    <w:link w:val="CommentSubjectChar"/>
    <w:uiPriority w:val="99"/>
    <w:semiHidden/>
    <w:unhideWhenUsed/>
    <w:rsid w:val="006F5EA7"/>
    <w:pPr>
      <w:spacing w:after="160"/>
      <w:jc w:val="left"/>
    </w:pPr>
    <w:rPr>
      <w:rFonts w:eastAsia="Calibri"/>
      <w:b/>
      <w:bCs/>
      <w:lang w:val="en-GB"/>
    </w:rPr>
  </w:style>
  <w:style w:type="character" w:customStyle="1" w:styleId="CommentSubjectChar">
    <w:name w:val="Comment Subject Char"/>
    <w:link w:val="CommentSubject"/>
    <w:uiPriority w:val="99"/>
    <w:semiHidden/>
    <w:rsid w:val="006F5EA7"/>
    <w:rPr>
      <w:rFonts w:ascii="Calibri" w:eastAsia="Times New Roman" w:hAnsi="Calibri" w:cs="Times New Roman"/>
      <w:b/>
      <w:bCs/>
      <w:sz w:val="20"/>
      <w:szCs w:val="20"/>
      <w:lang w:val="en-US"/>
    </w:rPr>
  </w:style>
  <w:style w:type="character" w:customStyle="1" w:styleId="UnresolvedMention1">
    <w:name w:val="Unresolved Mention1"/>
    <w:uiPriority w:val="99"/>
    <w:semiHidden/>
    <w:unhideWhenUsed/>
    <w:rsid w:val="00E27228"/>
    <w:rPr>
      <w:color w:val="605E5C"/>
      <w:shd w:val="clear" w:color="auto" w:fill="E1DFDD"/>
    </w:rPr>
  </w:style>
  <w:style w:type="paragraph" w:styleId="EndnoteText">
    <w:name w:val="endnote text"/>
    <w:basedOn w:val="Normal"/>
    <w:link w:val="EndnoteTextChar"/>
    <w:uiPriority w:val="99"/>
    <w:unhideWhenUsed/>
    <w:rsid w:val="00047FEF"/>
    <w:rPr>
      <w:rFonts w:ascii="Calibri" w:eastAsia="Calibri" w:hAnsi="Calibri"/>
      <w:sz w:val="20"/>
      <w:szCs w:val="20"/>
      <w:lang w:val="en-GB"/>
    </w:rPr>
  </w:style>
  <w:style w:type="character" w:customStyle="1" w:styleId="EndnoteTextChar">
    <w:name w:val="Endnote Text Char"/>
    <w:link w:val="EndnoteText"/>
    <w:uiPriority w:val="99"/>
    <w:rsid w:val="00047FEF"/>
    <w:rPr>
      <w:sz w:val="20"/>
      <w:szCs w:val="20"/>
    </w:rPr>
  </w:style>
  <w:style w:type="character" w:styleId="EndnoteReference">
    <w:name w:val="endnote reference"/>
    <w:uiPriority w:val="99"/>
    <w:unhideWhenUsed/>
    <w:rsid w:val="00047FEF"/>
    <w:rPr>
      <w:vertAlign w:val="superscript"/>
    </w:rPr>
  </w:style>
  <w:style w:type="paragraph" w:styleId="NormalWeb">
    <w:name w:val="Normal (Web)"/>
    <w:basedOn w:val="Normal"/>
    <w:uiPriority w:val="99"/>
    <w:unhideWhenUsed/>
    <w:rsid w:val="00735D8A"/>
    <w:pPr>
      <w:spacing w:before="100" w:beforeAutospacing="1" w:after="100" w:afterAutospacing="1"/>
    </w:pPr>
    <w:rPr>
      <w:rFonts w:ascii="Times New Roman" w:hAnsi="Times New Roman"/>
      <w:lang w:val="en-GB" w:eastAsia="en-GB"/>
    </w:rPr>
  </w:style>
  <w:style w:type="paragraph" w:styleId="Revision">
    <w:name w:val="Revision"/>
    <w:hidden/>
    <w:uiPriority w:val="99"/>
    <w:semiHidden/>
    <w:rsid w:val="009D392C"/>
    <w:rPr>
      <w:sz w:val="22"/>
      <w:szCs w:val="22"/>
      <w:lang w:eastAsia="en-US"/>
    </w:rPr>
  </w:style>
  <w:style w:type="character" w:customStyle="1" w:styleId="UnresolvedMention2">
    <w:name w:val="Unresolved Mention2"/>
    <w:uiPriority w:val="99"/>
    <w:semiHidden/>
    <w:unhideWhenUsed/>
    <w:rsid w:val="00DD1FEB"/>
    <w:rPr>
      <w:color w:val="605E5C"/>
      <w:shd w:val="clear" w:color="auto" w:fill="E1DFDD"/>
    </w:rPr>
  </w:style>
  <w:style w:type="character" w:customStyle="1" w:styleId="UnresolvedMention3">
    <w:name w:val="Unresolved Mention3"/>
    <w:uiPriority w:val="99"/>
    <w:semiHidden/>
    <w:unhideWhenUsed/>
    <w:rsid w:val="0081564B"/>
    <w:rPr>
      <w:color w:val="605E5C"/>
      <w:shd w:val="clear" w:color="auto" w:fill="E1DFDD"/>
    </w:rPr>
  </w:style>
  <w:style w:type="character" w:styleId="FollowedHyperlink">
    <w:name w:val="FollowedHyperlink"/>
    <w:uiPriority w:val="99"/>
    <w:semiHidden/>
    <w:unhideWhenUsed/>
    <w:rsid w:val="0081564B"/>
    <w:rPr>
      <w:color w:val="954F72"/>
      <w:u w:val="single"/>
    </w:rPr>
  </w:style>
  <w:style w:type="character" w:customStyle="1" w:styleId="UnresolvedMention4">
    <w:name w:val="Unresolved Mention4"/>
    <w:uiPriority w:val="99"/>
    <w:semiHidden/>
    <w:unhideWhenUsed/>
    <w:rsid w:val="00B05B5A"/>
    <w:rPr>
      <w:color w:val="605E5C"/>
      <w:shd w:val="clear" w:color="auto" w:fill="E1DFDD"/>
    </w:rPr>
  </w:style>
  <w:style w:type="paragraph" w:customStyle="1" w:styleId="EASOcopieannex">
    <w:name w:val="EASO_copie/annex"/>
    <w:qFormat/>
    <w:rsid w:val="00536141"/>
    <w:pPr>
      <w:tabs>
        <w:tab w:val="left" w:pos="1134"/>
      </w:tabs>
    </w:pPr>
    <w:rPr>
      <w:rFonts w:eastAsia="Times New Roman" w:cs="LucidaBright-Italic"/>
      <w:iCs/>
      <w:color w:val="000000"/>
      <w:sz w:val="22"/>
      <w:lang w:eastAsia="en-US"/>
    </w:rPr>
  </w:style>
  <w:style w:type="character" w:customStyle="1" w:styleId="Heading1Char">
    <w:name w:val="Heading 1 Char"/>
    <w:basedOn w:val="DefaultParagraphFont"/>
    <w:link w:val="Heading1"/>
    <w:uiPriority w:val="9"/>
    <w:rsid w:val="007D18F2"/>
    <w:rPr>
      <w:rFonts w:ascii="Arial Unicode MS" w:eastAsia="Arial Unicode MS" w:hAnsi="Arial Unicode MS" w:cs="Arial Unicode MS"/>
      <w:sz w:val="30"/>
      <w:szCs w:val="30"/>
      <w:lang w:val="en-US" w:eastAsia="en-US"/>
    </w:rPr>
  </w:style>
  <w:style w:type="paragraph" w:styleId="NoSpacing">
    <w:name w:val="No Spacing"/>
    <w:uiPriority w:val="1"/>
    <w:qFormat/>
    <w:rsid w:val="007D18F2"/>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semiHidden/>
    <w:rsid w:val="002446B5"/>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1263">
      <w:bodyDiv w:val="1"/>
      <w:marLeft w:val="0"/>
      <w:marRight w:val="0"/>
      <w:marTop w:val="0"/>
      <w:marBottom w:val="0"/>
      <w:divBdr>
        <w:top w:val="none" w:sz="0" w:space="0" w:color="auto"/>
        <w:left w:val="none" w:sz="0" w:space="0" w:color="auto"/>
        <w:bottom w:val="none" w:sz="0" w:space="0" w:color="auto"/>
        <w:right w:val="none" w:sz="0" w:space="0" w:color="auto"/>
      </w:divBdr>
    </w:div>
    <w:div w:id="246693036">
      <w:bodyDiv w:val="1"/>
      <w:marLeft w:val="0"/>
      <w:marRight w:val="0"/>
      <w:marTop w:val="0"/>
      <w:marBottom w:val="0"/>
      <w:divBdr>
        <w:top w:val="none" w:sz="0" w:space="0" w:color="auto"/>
        <w:left w:val="none" w:sz="0" w:space="0" w:color="auto"/>
        <w:bottom w:val="none" w:sz="0" w:space="0" w:color="auto"/>
        <w:right w:val="none" w:sz="0" w:space="0" w:color="auto"/>
      </w:divBdr>
    </w:div>
    <w:div w:id="449979397">
      <w:bodyDiv w:val="1"/>
      <w:marLeft w:val="0"/>
      <w:marRight w:val="0"/>
      <w:marTop w:val="0"/>
      <w:marBottom w:val="0"/>
      <w:divBdr>
        <w:top w:val="none" w:sz="0" w:space="0" w:color="auto"/>
        <w:left w:val="none" w:sz="0" w:space="0" w:color="auto"/>
        <w:bottom w:val="none" w:sz="0" w:space="0" w:color="auto"/>
        <w:right w:val="none" w:sz="0" w:space="0" w:color="auto"/>
      </w:divBdr>
    </w:div>
    <w:div w:id="530385187">
      <w:bodyDiv w:val="1"/>
      <w:marLeft w:val="0"/>
      <w:marRight w:val="0"/>
      <w:marTop w:val="0"/>
      <w:marBottom w:val="0"/>
      <w:divBdr>
        <w:top w:val="none" w:sz="0" w:space="0" w:color="auto"/>
        <w:left w:val="none" w:sz="0" w:space="0" w:color="auto"/>
        <w:bottom w:val="none" w:sz="0" w:space="0" w:color="auto"/>
        <w:right w:val="none" w:sz="0" w:space="0" w:color="auto"/>
      </w:divBdr>
    </w:div>
    <w:div w:id="551817737">
      <w:bodyDiv w:val="1"/>
      <w:marLeft w:val="0"/>
      <w:marRight w:val="0"/>
      <w:marTop w:val="0"/>
      <w:marBottom w:val="0"/>
      <w:divBdr>
        <w:top w:val="none" w:sz="0" w:space="0" w:color="auto"/>
        <w:left w:val="none" w:sz="0" w:space="0" w:color="auto"/>
        <w:bottom w:val="none" w:sz="0" w:space="0" w:color="auto"/>
        <w:right w:val="none" w:sz="0" w:space="0" w:color="auto"/>
      </w:divBdr>
    </w:div>
    <w:div w:id="590941438">
      <w:bodyDiv w:val="1"/>
      <w:marLeft w:val="0"/>
      <w:marRight w:val="0"/>
      <w:marTop w:val="0"/>
      <w:marBottom w:val="0"/>
      <w:divBdr>
        <w:top w:val="none" w:sz="0" w:space="0" w:color="auto"/>
        <w:left w:val="none" w:sz="0" w:space="0" w:color="auto"/>
        <w:bottom w:val="none" w:sz="0" w:space="0" w:color="auto"/>
        <w:right w:val="none" w:sz="0" w:space="0" w:color="auto"/>
      </w:divBdr>
      <w:divsChild>
        <w:div w:id="320893050">
          <w:marLeft w:val="0"/>
          <w:marRight w:val="0"/>
          <w:marTop w:val="0"/>
          <w:marBottom w:val="0"/>
          <w:divBdr>
            <w:top w:val="none" w:sz="0" w:space="0" w:color="auto"/>
            <w:left w:val="none" w:sz="0" w:space="0" w:color="auto"/>
            <w:bottom w:val="none" w:sz="0" w:space="0" w:color="auto"/>
            <w:right w:val="none" w:sz="0" w:space="0" w:color="auto"/>
          </w:divBdr>
        </w:div>
      </w:divsChild>
    </w:div>
    <w:div w:id="750353830">
      <w:bodyDiv w:val="1"/>
      <w:marLeft w:val="0"/>
      <w:marRight w:val="0"/>
      <w:marTop w:val="0"/>
      <w:marBottom w:val="0"/>
      <w:divBdr>
        <w:top w:val="none" w:sz="0" w:space="0" w:color="auto"/>
        <w:left w:val="none" w:sz="0" w:space="0" w:color="auto"/>
        <w:bottom w:val="none" w:sz="0" w:space="0" w:color="auto"/>
        <w:right w:val="none" w:sz="0" w:space="0" w:color="auto"/>
      </w:divBdr>
      <w:divsChild>
        <w:div w:id="865095546">
          <w:marLeft w:val="0"/>
          <w:marRight w:val="0"/>
          <w:marTop w:val="0"/>
          <w:marBottom w:val="0"/>
          <w:divBdr>
            <w:top w:val="none" w:sz="0" w:space="0" w:color="auto"/>
            <w:left w:val="none" w:sz="0" w:space="0" w:color="auto"/>
            <w:bottom w:val="none" w:sz="0" w:space="0" w:color="auto"/>
            <w:right w:val="none" w:sz="0" w:space="0" w:color="auto"/>
          </w:divBdr>
        </w:div>
      </w:divsChild>
    </w:div>
    <w:div w:id="1065034997">
      <w:bodyDiv w:val="1"/>
      <w:marLeft w:val="0"/>
      <w:marRight w:val="0"/>
      <w:marTop w:val="0"/>
      <w:marBottom w:val="0"/>
      <w:divBdr>
        <w:top w:val="none" w:sz="0" w:space="0" w:color="auto"/>
        <w:left w:val="none" w:sz="0" w:space="0" w:color="auto"/>
        <w:bottom w:val="none" w:sz="0" w:space="0" w:color="auto"/>
        <w:right w:val="none" w:sz="0" w:space="0" w:color="auto"/>
      </w:divBdr>
    </w:div>
    <w:div w:id="1239293385">
      <w:bodyDiv w:val="1"/>
      <w:marLeft w:val="0"/>
      <w:marRight w:val="0"/>
      <w:marTop w:val="0"/>
      <w:marBottom w:val="0"/>
      <w:divBdr>
        <w:top w:val="none" w:sz="0" w:space="0" w:color="auto"/>
        <w:left w:val="none" w:sz="0" w:space="0" w:color="auto"/>
        <w:bottom w:val="none" w:sz="0" w:space="0" w:color="auto"/>
        <w:right w:val="none" w:sz="0" w:space="0" w:color="auto"/>
      </w:divBdr>
    </w:div>
    <w:div w:id="1260523006">
      <w:bodyDiv w:val="1"/>
      <w:marLeft w:val="0"/>
      <w:marRight w:val="0"/>
      <w:marTop w:val="0"/>
      <w:marBottom w:val="0"/>
      <w:divBdr>
        <w:top w:val="none" w:sz="0" w:space="0" w:color="auto"/>
        <w:left w:val="none" w:sz="0" w:space="0" w:color="auto"/>
        <w:bottom w:val="none" w:sz="0" w:space="0" w:color="auto"/>
        <w:right w:val="none" w:sz="0" w:space="0" w:color="auto"/>
      </w:divBdr>
    </w:div>
    <w:div w:id="1264145416">
      <w:bodyDiv w:val="1"/>
      <w:marLeft w:val="0"/>
      <w:marRight w:val="0"/>
      <w:marTop w:val="0"/>
      <w:marBottom w:val="0"/>
      <w:divBdr>
        <w:top w:val="none" w:sz="0" w:space="0" w:color="auto"/>
        <w:left w:val="none" w:sz="0" w:space="0" w:color="auto"/>
        <w:bottom w:val="none" w:sz="0" w:space="0" w:color="auto"/>
        <w:right w:val="none" w:sz="0" w:space="0" w:color="auto"/>
      </w:divBdr>
    </w:div>
    <w:div w:id="1479565851">
      <w:bodyDiv w:val="1"/>
      <w:marLeft w:val="0"/>
      <w:marRight w:val="0"/>
      <w:marTop w:val="0"/>
      <w:marBottom w:val="0"/>
      <w:divBdr>
        <w:top w:val="none" w:sz="0" w:space="0" w:color="auto"/>
        <w:left w:val="none" w:sz="0" w:space="0" w:color="auto"/>
        <w:bottom w:val="none" w:sz="0" w:space="0" w:color="auto"/>
        <w:right w:val="none" w:sz="0" w:space="0" w:color="auto"/>
      </w:divBdr>
    </w:div>
    <w:div w:id="1642611456">
      <w:bodyDiv w:val="1"/>
      <w:marLeft w:val="0"/>
      <w:marRight w:val="0"/>
      <w:marTop w:val="0"/>
      <w:marBottom w:val="0"/>
      <w:divBdr>
        <w:top w:val="none" w:sz="0" w:space="0" w:color="auto"/>
        <w:left w:val="none" w:sz="0" w:space="0" w:color="auto"/>
        <w:bottom w:val="none" w:sz="0" w:space="0" w:color="auto"/>
        <w:right w:val="none" w:sz="0" w:space="0" w:color="auto"/>
      </w:divBdr>
    </w:div>
    <w:div w:id="2026637839">
      <w:bodyDiv w:val="1"/>
      <w:marLeft w:val="0"/>
      <w:marRight w:val="0"/>
      <w:marTop w:val="0"/>
      <w:marBottom w:val="0"/>
      <w:divBdr>
        <w:top w:val="none" w:sz="0" w:space="0" w:color="auto"/>
        <w:left w:val="none" w:sz="0" w:space="0" w:color="auto"/>
        <w:bottom w:val="none" w:sz="0" w:space="0" w:color="auto"/>
        <w:right w:val="none" w:sz="0" w:space="0" w:color="auto"/>
      </w:divBdr>
    </w:div>
    <w:div w:id="2098867328">
      <w:bodyDiv w:val="1"/>
      <w:marLeft w:val="0"/>
      <w:marRight w:val="0"/>
      <w:marTop w:val="0"/>
      <w:marBottom w:val="0"/>
      <w:divBdr>
        <w:top w:val="none" w:sz="0" w:space="0" w:color="auto"/>
        <w:left w:val="none" w:sz="0" w:space="0" w:color="auto"/>
        <w:bottom w:val="none" w:sz="0" w:space="0" w:color="auto"/>
        <w:right w:val="none" w:sz="0" w:space="0" w:color="auto"/>
      </w:divBdr>
    </w:div>
    <w:div w:id="21115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aa.europa.eu/acknowledgements-0" TargetMode="External"/><Relationship Id="rId18" Type="http://schemas.openxmlformats.org/officeDocument/2006/relationships/hyperlink" Target="https://www.adviescommissievoorvreemdelingenzaken.nl/publicaties/publicaties/2021/10/08/op-afstand-horen.-rechtsbescherming-asielzoekers-onder-druk" TargetMode="External"/><Relationship Id="rId26" Type="http://schemas.openxmlformats.org/officeDocument/2006/relationships/hyperlink" Target="https://www.adviescommissievoorvreemdelingenzaken.nl/actueel/nieuws/2021/02/16/wist-u-dat-...-blog-3" TargetMode="External"/><Relationship Id="rId39" Type="http://schemas.openxmlformats.org/officeDocument/2006/relationships/header" Target="header2.xml"/><Relationship Id="rId21" Type="http://schemas.openxmlformats.org/officeDocument/2006/relationships/hyperlink" Target="https://www.adviescommissievoorvreemdelingenzaken.nl/publicaties/publicaties/2021/07/22/working-on-return-together" TargetMode="External"/><Relationship Id="rId34" Type="http://schemas.openxmlformats.org/officeDocument/2006/relationships/hyperlink" Target="https://www.adviescommissievoorvreemdelingenzaken.nl/binaries/adviescommissievoorvreemdelingenzaken/documenten/publicaties/2021/07/22/working-on-return-together/Working+on+return+together+%28Vertaling+advies+Samen+werken+aan+Terugkeer+%29-+DEF.pdf" TargetMode="External"/><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adviescommissievoorvreemdelingenzaken.nl/publicaties/publicaties/2021/07/22/working-on-return-together" TargetMode="External"/><Relationship Id="rId29" Type="http://schemas.openxmlformats.org/officeDocument/2006/relationships/hyperlink" Target="https://www.adviescommissievoorvreemdelingenzaken.nl/actueel/nieuws/2021/03/05/wist-u-dat-...-blog-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dviescommissievoorvreemdelingenzaken.nl/actueel/nieuws/2021/02/05/wist-u-dat..-blog-1" TargetMode="External"/><Relationship Id="rId32" Type="http://schemas.openxmlformats.org/officeDocument/2006/relationships/hyperlink" Target="https://www.adviescommissievoorvreemdelingenzaken.nl/publicaties/publicaties/2021/11/9/adviesvraag-beleidsmatige-richtgetallen" TargetMode="External"/><Relationship Id="rId37" Type="http://schemas.openxmlformats.org/officeDocument/2006/relationships/hyperlink" Target="https://euaa.europa.eu/legal-notic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dviescommissievoorvreemdelingenzaken.nl/publicaties/publicaties/2021/05/11/from-asylum-seeker-to-healthcare-provider" TargetMode="External"/><Relationship Id="rId23" Type="http://schemas.openxmlformats.org/officeDocument/2006/relationships/hyperlink" Target="https://www.adviescommissievoorvreemdelingenzaken.nl/publicaties/publicaties/2021/11/01/towards-a-well-being-approach-in-labour-migration-policy" TargetMode="External"/><Relationship Id="rId28" Type="http://schemas.openxmlformats.org/officeDocument/2006/relationships/hyperlink" Target="https://www.adviescommissievoorvreemdelingenzaken.nl/actueel/nieuws/2021/03/01/wist-u-dat-...-blog-5" TargetMode="External"/><Relationship Id="rId36" Type="http://schemas.openxmlformats.org/officeDocument/2006/relationships/hyperlink" Target="https://www.adviescommissievoorvreemdelingenzaken.nl/binaries/adviescommissievoorvreemdelingenzaken/documenten/publicaties/2021/11/01/towards-a-well-being-approach-in-labour-migration-policy/Towards+a+well-being+approach+in+labour+migration+policy.pdf" TargetMode="External"/><Relationship Id="rId10" Type="http://schemas.openxmlformats.org/officeDocument/2006/relationships/footnotes" Target="footnotes.xml"/><Relationship Id="rId19" Type="http://schemas.openxmlformats.org/officeDocument/2006/relationships/hyperlink" Target="https://open.spotify.com/show/1S2OYLaHvvLJpFWieChlyx" TargetMode="External"/><Relationship Id="rId31" Type="http://schemas.openxmlformats.org/officeDocument/2006/relationships/hyperlink" Target="https://www.adviescommissievoorvreemdelingenzaken.nl/actueel/nieuws/2021/03/16/wist-u-dat-...-blog-8"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dviescommissievoorvreemdelingenzaken.nl/publicaties/publicaties/2022/02/14/eu-borders-are-common-borders" TargetMode="External"/><Relationship Id="rId22" Type="http://schemas.openxmlformats.org/officeDocument/2006/relationships/hyperlink" Target="https://caselaw.easo.europa.eu/Pages/default.aspx" TargetMode="External"/><Relationship Id="rId27" Type="http://schemas.openxmlformats.org/officeDocument/2006/relationships/hyperlink" Target="https://www.adviescommissievoorvreemdelingenzaken.nl/actueel/nieuws/2021/02/22/wist-u-dat-...-blog-4" TargetMode="External"/><Relationship Id="rId30" Type="http://schemas.openxmlformats.org/officeDocument/2006/relationships/hyperlink" Target="https://www.adviescommissievoorvreemdelingenzaken.nl/actueel/nieuws/2021/03/10/wist-u-dat-...-blog-7" TargetMode="External"/><Relationship Id="rId35" Type="http://schemas.openxmlformats.org/officeDocument/2006/relationships/hyperlink" Target="https://www.adviescommissievoorvreemdelingenzaken.nl/binaries/adviescommissievoorvreemdelingenzaken/documenten/publicaties/2021/05/11/from-asylum-seeker-to-healthcare-provider/20210519+Summary++%28van+asielzoeker+naar+zorgverlener%29.pdf"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euaa.europa.eu/asylum-knowledge/asylum-report" TargetMode="External"/><Relationship Id="rId17" Type="http://schemas.openxmlformats.org/officeDocument/2006/relationships/hyperlink" Target="https://www.adviescommissievoorvreemdelingenzaken.nl/publicaties/publicaties/2021/01/07/advies-wijziging-vb-regelen-aanmeldfase-en-vervallen-eerste-gehoor" TargetMode="External"/><Relationship Id="rId25" Type="http://schemas.openxmlformats.org/officeDocument/2006/relationships/hyperlink" Target="https://www.adviescommissievoorvreemdelingenzaken.nl/actueel/nieuws/2021/02/10/wist-u-dat-...-blog-2-opzeggen-vluchtelingenverdrag-schaadt-ook-nederlands-belang" TargetMode="External"/><Relationship Id="rId33" Type="http://schemas.openxmlformats.org/officeDocument/2006/relationships/hyperlink" Target="https://www.adviescommissievoorvreemdelingenzaken.nl/binaries/adviescommissievoorvreemdelingenzaken/documenten/publicaties/2022/02/14/eu-borders-are-common-borders/20220214_Policybrief_EU+Borders+are+common+borders+%28English+translation%29.pdf" TargetMode="External"/><Relationship Id="rId38" Type="http://schemas.openxmlformats.org/officeDocument/2006/relationships/header" Target="header1.xml"/><Relationship Id="rId20" Type="http://schemas.openxmlformats.org/officeDocument/2006/relationships/hyperlink" Target="https://www.adviescommissievoorvreemdelingenzaken.nl/publicaties/publicaties/2021/05/11/from-asylum-seeker-to-healthcare-provider" TargetMode="External"/><Relationship Id="rId4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lesma\OneDrive%20-%20European%20Asylum%20Support%20Office\Logo\Ruta2\Templates\EUA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ASO Document" ma:contentTypeID="0x010100627147F146C0AB4C96FB1263775BA7FD00DDFF37C7EABDB94697A977C3E7CFC8F2" ma:contentTypeVersion="23" ma:contentTypeDescription="" ma:contentTypeScope="" ma:versionID="a39a00d2af17b8ae8a0ae97d64c04d42">
  <xsd:schema xmlns:xsd="http://www.w3.org/2001/XMLSchema" xmlns:xs="http://www.w3.org/2001/XMLSchema" xmlns:p="http://schemas.microsoft.com/office/2006/metadata/properties" xmlns:ns2="a1af3d24-2c00-4fff-b753-464d92bed99a" xmlns:ns3="c1c9cb1c-19b8-4996-ad50-e0f4a4c9c432" targetNamespace="http://schemas.microsoft.com/office/2006/metadata/properties" ma:root="true" ma:fieldsID="34aec552e6a576196b14dfcd3a7538d0" ns2:_="" ns3:_="">
    <xsd:import namespace="a1af3d24-2c00-4fff-b753-464d92bed99a"/>
    <xsd:import namespace="c1c9cb1c-19b8-4996-ad50-e0f4a4c9c432"/>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bf315e-f9e4-4b9b-8124-c5ad25a0d725}"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bf315e-f9e4-4b9b-8124-c5ad25a0d725}"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9cb1c-19b8-4996-ad50-e0f4a4c9c43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o8afd3c3b2c14229af30eb97d0576c14>
    <TaxCatchAll xmlns="a1af3d24-2c00-4fff-b753-464d92bed99a">
      <Value>2</Value>
      <Value>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EUAA2022-23779149-69310</_dlc_DocId>
    <_dlc_DocIdUrl xmlns="a1af3d24-2c00-4fff-b753-464d92bed99a">
      <Url>https://easo.sharepoint.com/sites/sa/_layouts/15/DocIdRedir.aspx?ID=EUAA2022-23779149-69310</Url>
      <Description>EUAA2022-23779149-69310</Description>
    </_dlc_DocIdUrl>
  </documentManagement>
</p:properties>
</file>

<file path=customXml/itemProps1.xml><?xml version="1.0" encoding="utf-8"?>
<ds:datastoreItem xmlns:ds="http://schemas.openxmlformats.org/officeDocument/2006/customXml" ds:itemID="{9E398617-F0C6-4B3A-B8C3-076A737E06BF}">
  <ds:schemaRefs>
    <ds:schemaRef ds:uri="http://schemas.openxmlformats.org/officeDocument/2006/bibliography"/>
  </ds:schemaRefs>
</ds:datastoreItem>
</file>

<file path=customXml/itemProps2.xml><?xml version="1.0" encoding="utf-8"?>
<ds:datastoreItem xmlns:ds="http://schemas.openxmlformats.org/officeDocument/2006/customXml" ds:itemID="{2A0F701F-3664-4A55-9B7B-BA1EE8A00A1C}">
  <ds:schemaRefs>
    <ds:schemaRef ds:uri="http://schemas.microsoft.com/sharepoint/v3/contenttype/forms"/>
  </ds:schemaRefs>
</ds:datastoreItem>
</file>

<file path=customXml/itemProps3.xml><?xml version="1.0" encoding="utf-8"?>
<ds:datastoreItem xmlns:ds="http://schemas.openxmlformats.org/officeDocument/2006/customXml" ds:itemID="{1929BBC0-3D94-496B-8289-E55571F78202}"/>
</file>

<file path=customXml/itemProps4.xml><?xml version="1.0" encoding="utf-8"?>
<ds:datastoreItem xmlns:ds="http://schemas.openxmlformats.org/officeDocument/2006/customXml" ds:itemID="{9221FE94-9CAE-4E2D-999C-C063AD81074F}">
  <ds:schemaRefs>
    <ds:schemaRef ds:uri="http://schemas.microsoft.com/sharepoint/events"/>
  </ds:schemaRefs>
</ds:datastoreItem>
</file>

<file path=customXml/itemProps5.xml><?xml version="1.0" encoding="utf-8"?>
<ds:datastoreItem xmlns:ds="http://schemas.openxmlformats.org/officeDocument/2006/customXml" ds:itemID="{D4EFA26A-EB3D-4330-8563-7D84965020D2}">
  <ds:schemaRefs>
    <ds:schemaRef ds:uri="http://purl.org/dc/elements/1.1/"/>
    <ds:schemaRef ds:uri="http://schemas.microsoft.com/office/2006/metadata/properties"/>
    <ds:schemaRef ds:uri="http://schemas.microsoft.com/office/2006/documentManagement/types"/>
    <ds:schemaRef ds:uri="a1af3d24-2c00-4fff-b753-464d92bed99a"/>
    <ds:schemaRef ds:uri="http://purl.org/dc/terms/"/>
    <ds:schemaRef ds:uri="0409130f-00e9-4349-a986-50dad916e3bd"/>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8</Pages>
  <Words>2661</Words>
  <Characters>14374</Characters>
  <Application>Microsoft Office Word</Application>
  <DocSecurity>4</DocSecurity>
  <Lines>119</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Asylum Support Office</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Espinos Iglesias, Maria Luisa</dc:creator>
  <cp:keywords/>
  <dc:description/>
  <cp:lastModifiedBy>Gatsias, Athanasios</cp:lastModifiedBy>
  <cp:revision>2</cp:revision>
  <cp:lastPrinted>2021-07-30T14:30:00Z</cp:lastPrinted>
  <dcterms:created xsi:type="dcterms:W3CDTF">2022-02-22T09:11:00Z</dcterms:created>
  <dcterms:modified xsi:type="dcterms:W3CDTF">2022-02-22T09:11:00Z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0x010100627147F146C0AB4C96FB1263775BA7FD00DDFF37C7EABDB94697A977C3E7CFC8F2</vt:lpwstr>
  </property>
  <property fmtid="{D5CDD505-2E9C-101B-9397-08002B2CF9AE}" pid="3" name="easoDocumentLanguage">
    <vt:lpwstr>2;#English|532fa66a-4cdf-4129-bab9-a1f47b418755</vt:lpwstr>
  </property>
  <property fmtid="{D5CDD505-2E9C-101B-9397-08002B2CF9AE}" pid="4" name="easoSecurityClassification">
    <vt:lpwstr>1;#Internal|d0063956-0b9b-4740-b4be-2689507f2aae</vt:lpwstr>
  </property>
  <property fmtid="{D5CDD505-2E9C-101B-9397-08002B2CF9AE}" pid="5" name="_dlc_DocIdItemGuid">
    <vt:lpwstr>1dbe60a7-5169-4971-8a71-6aeab67e19be</vt:lpwstr>
  </property>
  <property fmtid="{D5CDD505-2E9C-101B-9397-08002B2CF9AE}" pid="6" name="easoBusinessClassification">
    <vt:lpwstr/>
  </property>
</Properties>
</file>